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14" w:leader="none"/>
        </w:tabs>
        <w:jc w:val="right"/>
        <w:rPr>
          <w:sz w:val="20"/>
          <w:szCs w:val="20"/>
        </w:rPr>
      </w:pPr>
      <w:bookmarkStart w:id="0" w:name="_GoBack"/>
      <w:bookmarkEnd w:id="0"/>
      <w:r>
        <w:rPr>
          <w:sz w:val="20"/>
          <w:szCs w:val="20"/>
        </w:rPr>
        <w:t>Stand des Dokuments: 22.06.2018</w:t>
      </w:r>
    </w:p>
    <w:tbl>
      <w:tblPr>
        <w:tblW w:w="8652" w:type="dxa"/>
        <w:jc w:val="left"/>
        <w:tblInd w:w="-5"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top w:w="55" w:type="dxa"/>
          <w:left w:w="50" w:type="dxa"/>
          <w:bottom w:w="55" w:type="dxa"/>
          <w:right w:w="55" w:type="dxa"/>
        </w:tblCellMar>
        <w:tblLook w:firstRow="1" w:noVBand="1" w:lastRow="0" w:firstColumn="1" w:lastColumn="0" w:noHBand="0" w:val="04a0"/>
      </w:tblPr>
      <w:tblGrid>
        <w:gridCol w:w="8652"/>
      </w:tblGrid>
      <w:tr>
        <w:trPr>
          <w:trHeight w:val="471" w:hRule="atLeast"/>
        </w:trPr>
        <w:tc>
          <w:tcPr>
            <w:tcW w:w="8652"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t>Dies ist die Vorlage zum Ausfüllen in LibreOffice oder MS Word</w:t>
            </w:r>
          </w:p>
        </w:tc>
      </w:tr>
      <w:tr>
        <w:trPr>
          <w:trHeight w:val="596" w:hRule="atLeast"/>
        </w:trPr>
        <w:tc>
          <w:tcPr>
            <w:tcW w:w="8652"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Pr>
          <w:p>
            <w:pPr>
              <w:pStyle w:val="Normal"/>
              <w:spacing w:before="0" w:after="160"/>
              <w:jc w:val="center"/>
              <w:rPr/>
            </w:pPr>
            <w:r>
              <w:rPr>
                <w:b/>
                <w:bCs/>
              </w:rPr>
              <w:t xml:space="preserve">Die Anleitung dazu finden Sie als PDF unter </w:t>
            </w:r>
            <w:r>
              <w:rPr/>
              <w:br/>
            </w:r>
            <w:hyperlink r:id="rId2">
              <w:r>
                <w:rPr>
                  <w:rStyle w:val="ListLabel142"/>
                  <w:rFonts w:eastAsia="Calibri"/>
                </w:rPr>
                <w:t>www.dataprivacydoctors.at/vorlagen/</w:t>
              </w:r>
            </w:hyperlink>
            <w:r>
              <w:rPr>
                <w:rStyle w:val="ListLabel142"/>
                <w:rFonts w:eastAsia="Calibri"/>
              </w:rPr>
              <w:t xml:space="preserve"> </w:t>
            </w:r>
          </w:p>
        </w:tc>
      </w:tr>
    </w:tbl>
    <w:p>
      <w:pPr>
        <w:pStyle w:val="Normal"/>
        <w:jc w:val="center"/>
        <w:rPr>
          <w:sz w:val="36"/>
          <w:szCs w:val="36"/>
          <w:highlight w:val="yellow"/>
        </w:rPr>
      </w:pPr>
      <w:r>
        <w:rPr>
          <w:sz w:val="36"/>
          <w:szCs w:val="36"/>
          <w:highlight w:val="yellow"/>
        </w:rPr>
      </w:r>
    </w:p>
    <w:p>
      <w:pPr>
        <w:pStyle w:val="Normal"/>
        <w:jc w:val="center"/>
        <w:rPr/>
      </w:pPr>
      <w:r>
        <w:rPr>
          <w:rFonts w:cs="Calibri Light" w:cstheme="majorHAnsi"/>
          <w:sz w:val="36"/>
          <w:szCs w:val="36"/>
        </w:rPr>
        <w:t>Datenschutz-Konzept-Psychotherapeut/</w:t>
      </w:r>
      <w:r>
        <w:rPr>
          <w:rFonts w:cs="Calibri Light" w:cstheme="majorHAnsi"/>
          <w:sz w:val="36"/>
          <w:szCs w:val="36"/>
          <w:highlight w:val="yellow"/>
        </w:rPr>
        <w:t>in</w:t>
      </w:r>
      <w:r>
        <w:rPr>
          <w:rFonts w:cs="Calibri Light" w:cstheme="majorHAnsi"/>
          <w:sz w:val="36"/>
          <w:szCs w:val="36"/>
        </w:rPr>
        <w:br/>
        <w:t>gemäß DSGVO und Datenschutz-Anpassungsgesetz 2018</w:t>
      </w:r>
    </w:p>
    <w:p>
      <w:pPr>
        <w:pStyle w:val="Normal"/>
        <w:jc w:val="center"/>
        <w:rPr/>
      </w:pPr>
      <w:r>
        <w:rPr>
          <w:sz w:val="32"/>
        </w:rPr>
        <w:br/>
      </w:r>
    </w:p>
    <w:p>
      <w:pPr>
        <w:pStyle w:val="Normal"/>
        <w:jc w:val="center"/>
        <w:rPr/>
      </w:pPr>
      <w:r>
        <w:rPr>
          <w:highlight w:val="yellow"/>
        </w:rPr>
        <w:t>Logo/Schriftzug</w:t>
      </w:r>
    </w:p>
    <w:p>
      <w:pPr>
        <w:pStyle w:val="Normal"/>
        <w:jc w:val="center"/>
        <w:rPr/>
      </w:pPr>
      <w:r>
        <w:rPr/>
      </w:r>
    </w:p>
    <w:p>
      <w:pPr>
        <w:pStyle w:val="Normal"/>
        <w:jc w:val="center"/>
        <w:rPr/>
      </w:pPr>
      <w:r>
        <w:rPr/>
      </w:r>
    </w:p>
    <w:p>
      <w:pPr>
        <w:pStyle w:val="Normal"/>
        <w:rPr>
          <w:color w:val="CE181E"/>
        </w:rPr>
      </w:pPr>
      <w:r>
        <w:rPr>
          <w:color w:val="CE181E"/>
        </w:rPr>
      </w:r>
    </w:p>
    <w:p>
      <w:pPr>
        <w:pStyle w:val="Normal"/>
        <w:jc w:val="right"/>
        <w:rPr/>
      </w:pPr>
      <w:r>
        <w:rPr/>
        <w:br/>
      </w:r>
    </w:p>
    <w:p>
      <w:pPr>
        <w:pStyle w:val="Normal"/>
        <w:jc w:val="right"/>
        <w:rPr/>
      </w:pPr>
      <w:r>
        <w:rPr/>
        <w:br/>
      </w:r>
    </w:p>
    <w:p>
      <w:pPr>
        <w:pStyle w:val="Normal"/>
        <w:jc w:val="center"/>
        <w:rPr/>
      </w:pPr>
      <w:r>
        <w:rPr>
          <w:i/>
          <w:iCs/>
          <w:sz w:val="28"/>
          <w:shd w:fill="FFF200" w:val="clear"/>
        </w:rPr>
        <w:t>Titel / Vor-und Zuname</w:t>
      </w:r>
      <w:r>
        <w:rPr>
          <w:i/>
          <w:iCs/>
          <w:sz w:val="28"/>
        </w:rPr>
        <w:br/>
        <w:t>Verantwortliche gemäß DSGVO</w:t>
        <w:br/>
      </w:r>
      <w:r>
        <w:rPr>
          <w:i/>
          <w:iCs/>
          <w:sz w:val="28"/>
          <w:shd w:fill="FFF200" w:val="clear"/>
        </w:rPr>
        <w:t>Straße</w:t>
        <w:br/>
        <w:t>PLZ-Ort</w:t>
        <w:br/>
        <w:t>Email: …………...@…………………….</w:t>
        <w:br/>
        <w:t xml:space="preserve">Tel.: </w:t>
      </w:r>
      <w:r>
        <w:rPr>
          <w:i/>
          <w:iCs/>
          <w:sz w:val="28"/>
        </w:rPr>
        <w:br/>
      </w:r>
    </w:p>
    <w:p>
      <w:pPr>
        <w:pStyle w:val="Normal"/>
        <w:spacing w:before="0" w:after="0"/>
        <w:textAlignment w:val="auto"/>
        <w:rPr/>
      </w:pPr>
      <w:r>
        <w:rPr/>
      </w:r>
      <w:r>
        <w:br w:type="page"/>
      </w:r>
    </w:p>
    <w:p>
      <w:pPr>
        <w:pStyle w:val="Normal"/>
        <w:jc w:val="center"/>
        <w:rPr/>
      </w:pPr>
      <w:r>
        <w:rPr>
          <w:sz w:val="24"/>
          <w:szCs w:val="24"/>
          <w:highlight w:val="yellow"/>
        </w:rPr>
        <w:t xml:space="preserve">Wenn fertig, bitte das </w:t>
      </w:r>
      <w:bookmarkStart w:id="1" w:name="_Toc501469367"/>
      <w:bookmarkStart w:id="2" w:name="_Toc507067624"/>
      <w:bookmarkStart w:id="3" w:name="_Toc505870217"/>
      <w:bookmarkStart w:id="4" w:name="_Toc505854320"/>
      <w:bookmarkStart w:id="5" w:name="_Toc505585717"/>
      <w:bookmarkStart w:id="6" w:name="_Toc505255048"/>
      <w:bookmarkStart w:id="7" w:name="_Toc505068699"/>
      <w:bookmarkStart w:id="8" w:name="_Toc504472765"/>
      <w:bookmarkStart w:id="9" w:name="_Toc504155851"/>
      <w:bookmarkStart w:id="10" w:name="_Toc503945401"/>
      <w:bookmarkStart w:id="11" w:name="_Toc503862741"/>
      <w:bookmarkStart w:id="12" w:name="_Toc503781180"/>
      <w:bookmarkStart w:id="13" w:name="_Toc503285897"/>
      <w:bookmarkStart w:id="14" w:name="_Toc503285662"/>
      <w:bookmarkStart w:id="15" w:name="_Toc503168888"/>
      <w:bookmarkStart w:id="16" w:name="_Toc501715464"/>
      <w:bookmarkStart w:id="17" w:name="_Toc501545380"/>
      <w:r>
        <w:rPr>
          <w:sz w:val="24"/>
          <w:szCs w:val="24"/>
          <w:highlight w:val="yellow"/>
        </w:rPr>
        <w:t>Inhaltsverzeichn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4"/>
          <w:szCs w:val="24"/>
          <w:highlight w:val="yellow"/>
        </w:rPr>
        <w:t>is neu erstellen</w:t>
      </w:r>
    </w:p>
    <w:p>
      <w:pPr>
        <w:pStyle w:val="Normal"/>
        <w:jc w:val="center"/>
        <w:rPr/>
      </w:pPr>
      <w:r>
        <w:rPr>
          <w:sz w:val="32"/>
          <w:szCs w:val="32"/>
        </w:rPr>
        <w:t>Inhaltsverzeichnis</w:t>
      </w:r>
    </w:p>
    <w:p>
      <w:pPr>
        <w:pStyle w:val="Inhaltsverzeichnis1"/>
        <w:tabs>
          <w:tab w:val="right" w:pos="8504" w:leader="dot"/>
        </w:tabs>
        <w:rPr/>
      </w:pPr>
      <w:r>
        <w:fldChar w:fldCharType="begin"/>
      </w:r>
      <w:r>
        <w:rPr>
          <w:webHidden/>
          <w:rStyle w:val="Verzeichnissprung"/>
          <w:vanish w:val="false"/>
        </w:rPr>
        <w:instrText> TOC \z \o "1-2" \u \h</w:instrText>
      </w:r>
      <w:r>
        <w:rPr>
          <w:webHidden/>
          <w:rStyle w:val="Verzeichnissprung"/>
          <w:vanish w:val="false"/>
        </w:rPr>
        <w:fldChar w:fldCharType="separate"/>
      </w:r>
      <w:hyperlink w:anchor="__RefHeading___Toc31831_1491107819">
        <w:r>
          <w:rPr>
            <w:webHidden/>
            <w:rStyle w:val="Verzeichnissprung"/>
            <w:vanish w:val="false"/>
          </w:rPr>
          <w:t>1 Allgemeine Angaben</w:t>
          <w:tab/>
          <w:t>4</w:t>
        </w:r>
      </w:hyperlink>
    </w:p>
    <w:p>
      <w:pPr>
        <w:pStyle w:val="Inhaltsverzeichnis2"/>
        <w:tabs>
          <w:tab w:val="right" w:pos="8504" w:leader="dot"/>
        </w:tabs>
        <w:rPr/>
      </w:pPr>
      <w:hyperlink w:anchor="__RefHeading___Toc31833_1491107819">
        <w:r>
          <w:rPr>
            <w:webHidden/>
            <w:rStyle w:val="Verzeichnissprung"/>
            <w:vanish w:val="false"/>
          </w:rPr>
          <w:t>1.1 Datenschutz-Konzept</w:t>
          <w:tab/>
          <w:t>4</w:t>
        </w:r>
      </w:hyperlink>
    </w:p>
    <w:p>
      <w:pPr>
        <w:pStyle w:val="Inhaltsverzeichnis2"/>
        <w:tabs>
          <w:tab w:val="right" w:pos="8504" w:leader="dot"/>
        </w:tabs>
        <w:rPr/>
      </w:pPr>
      <w:hyperlink w:anchor="__RefHeading___Toc31835_1491107819">
        <w:r>
          <w:rPr>
            <w:webHidden/>
            <w:rStyle w:val="Verzeichnissprung"/>
            <w:vanish w:val="false"/>
          </w:rPr>
          <w:t>1.2 Sachliche und räumliche Tätigkeit</w:t>
          <w:tab/>
          <w:t>4</w:t>
        </w:r>
      </w:hyperlink>
    </w:p>
    <w:p>
      <w:pPr>
        <w:pStyle w:val="Inhaltsverzeichnis2"/>
        <w:tabs>
          <w:tab w:val="right" w:pos="8504" w:leader="dot"/>
        </w:tabs>
        <w:rPr/>
      </w:pPr>
      <w:hyperlink w:anchor="__RefHeading___Toc31837_1491107819">
        <w:r>
          <w:rPr>
            <w:webHidden/>
            <w:rStyle w:val="Verzeichnissprung"/>
            <w:vanish w:val="false"/>
          </w:rPr>
          <w:t>1.3 Datenschutzbeauftragter (DSB)</w:t>
          <w:tab/>
          <w:t>4</w:t>
        </w:r>
      </w:hyperlink>
    </w:p>
    <w:p>
      <w:pPr>
        <w:pStyle w:val="Inhaltsverzeichnis2"/>
        <w:tabs>
          <w:tab w:val="right" w:pos="8504" w:leader="dot"/>
        </w:tabs>
        <w:rPr/>
      </w:pPr>
      <w:hyperlink w:anchor="__RefHeading___Toc31839_1491107819">
        <w:r>
          <w:rPr>
            <w:webHidden/>
            <w:rStyle w:val="Verzeichnissprung"/>
            <w:vanish w:val="false"/>
          </w:rPr>
          <w:t>1.4 Verantwortliche (Stammdaten)</w:t>
          <w:tab/>
          <w:t>4</w:t>
        </w:r>
      </w:hyperlink>
    </w:p>
    <w:p>
      <w:pPr>
        <w:pStyle w:val="Inhaltsverzeichnis1"/>
        <w:tabs>
          <w:tab w:val="right" w:pos="8504" w:leader="dot"/>
        </w:tabs>
        <w:rPr/>
      </w:pPr>
      <w:hyperlink w:anchor="__RefHeading___Toc31841_1491107819">
        <w:r>
          <w:rPr>
            <w:webHidden/>
            <w:rStyle w:val="Verzeichnissprung"/>
            <w:vanish w:val="false"/>
          </w:rPr>
          <w:t>2 Verarbeitungs-Verzeichnisse</w:t>
          <w:tab/>
          <w:t>5</w:t>
        </w:r>
      </w:hyperlink>
    </w:p>
    <w:p>
      <w:pPr>
        <w:pStyle w:val="Inhaltsverzeichnis2"/>
        <w:tabs>
          <w:tab w:val="right" w:pos="8504" w:leader="dot"/>
        </w:tabs>
        <w:rPr/>
      </w:pPr>
      <w:hyperlink w:anchor="__RefHeading___Toc31843_1491107819">
        <w:r>
          <w:rPr>
            <w:webHidden/>
            <w:rStyle w:val="Verzeichnissprung"/>
            <w:vanish w:val="false"/>
          </w:rPr>
          <w:t>2.1 Wurde eine Datenschutz-Folgenabschätzung durchgeführt?</w:t>
          <w:tab/>
          <w:t>5</w:t>
        </w:r>
      </w:hyperlink>
    </w:p>
    <w:p>
      <w:pPr>
        <w:pStyle w:val="Inhaltsverzeichnis2"/>
        <w:tabs>
          <w:tab w:val="right" w:pos="8504" w:leader="dot"/>
        </w:tabs>
        <w:rPr/>
      </w:pPr>
      <w:hyperlink w:anchor="__RefHeading___Toc31845_1491107819">
        <w:r>
          <w:rPr>
            <w:webHidden/>
            <w:rStyle w:val="Verzeichnissprung"/>
            <w:vanish w:val="false"/>
          </w:rPr>
          <w:t>2.2 Rechnungswesen und Geschäftsabwicklung</w:t>
          <w:tab/>
          <w:t>6</w:t>
        </w:r>
      </w:hyperlink>
    </w:p>
    <w:p>
      <w:pPr>
        <w:pStyle w:val="Inhaltsverzeichnis1"/>
        <w:tabs>
          <w:tab w:val="right" w:pos="8504" w:leader="dot"/>
        </w:tabs>
        <w:rPr/>
      </w:pPr>
      <w:hyperlink w:anchor="__RefHeading___Toc31847_1491107819">
        <w:r>
          <w:rPr>
            <w:webHidden/>
            <w:rStyle w:val="Verzeichnissprung"/>
            <w:vanish w:val="false"/>
          </w:rPr>
          <w:tab/>
          <w:t>9</w:t>
        </w:r>
      </w:hyperlink>
    </w:p>
    <w:p>
      <w:pPr>
        <w:pStyle w:val="Inhaltsverzeichnis2"/>
        <w:tabs>
          <w:tab w:val="right" w:pos="8504" w:leader="dot"/>
        </w:tabs>
        <w:rPr/>
      </w:pPr>
      <w:hyperlink w:anchor="__RefHeading___Toc31849_1491107819">
        <w:r>
          <w:rPr>
            <w:webHidden/>
            <w:rStyle w:val="Verzeichnissprung"/>
            <w:vanish w:val="false"/>
          </w:rPr>
          <w:t>2.3 Klientenverwaltung und Dokumentation</w:t>
          <w:tab/>
          <w:t>9</w:t>
        </w:r>
      </w:hyperlink>
    </w:p>
    <w:p>
      <w:pPr>
        <w:pStyle w:val="Inhaltsverzeichnis1"/>
        <w:tabs>
          <w:tab w:val="right" w:pos="8504" w:leader="dot"/>
        </w:tabs>
        <w:rPr/>
      </w:pPr>
      <w:hyperlink w:anchor="__RefHeading___Toc31851_1491107819">
        <w:r>
          <w:rPr>
            <w:webHidden/>
            <w:rStyle w:val="Verzeichnissprung"/>
            <w:vanish w:val="false"/>
          </w:rPr>
          <w:t>3 Daten-/Auftragsverarbeitungsverträge</w:t>
          <w:tab/>
          <w:t>16</w:t>
        </w:r>
      </w:hyperlink>
    </w:p>
    <w:p>
      <w:pPr>
        <w:pStyle w:val="Inhaltsverzeichnis1"/>
        <w:tabs>
          <w:tab w:val="right" w:pos="8504" w:leader="dot"/>
        </w:tabs>
        <w:rPr/>
      </w:pPr>
      <w:hyperlink w:anchor="__RefHeading___Toc31853_1491107819">
        <w:r>
          <w:rPr>
            <w:webHidden/>
            <w:rStyle w:val="Verzeichnissprung"/>
            <w:vanish w:val="false"/>
          </w:rPr>
          <w:t>4 Beschreibung der technisch-organisatorischen Maßnahmen (TOMs)</w:t>
          <w:tab/>
          <w:t>16</w:t>
        </w:r>
      </w:hyperlink>
    </w:p>
    <w:p>
      <w:pPr>
        <w:pStyle w:val="Inhaltsverzeichnis2"/>
        <w:tabs>
          <w:tab w:val="right" w:pos="8504" w:leader="dot"/>
        </w:tabs>
        <w:rPr/>
      </w:pPr>
      <w:hyperlink w:anchor="__RefHeading___Toc31855_1491107819">
        <w:r>
          <w:rPr>
            <w:webHidden/>
            <w:rStyle w:val="Verzeichnissprung"/>
            <w:vanish w:val="false"/>
          </w:rPr>
          <w:t>4.1 Impressum und Datenschutzerklärung</w:t>
          <w:tab/>
          <w:t>16</w:t>
        </w:r>
      </w:hyperlink>
    </w:p>
    <w:p>
      <w:pPr>
        <w:pStyle w:val="Inhaltsverzeichnis2"/>
        <w:tabs>
          <w:tab w:val="right" w:pos="8504" w:leader="dot"/>
        </w:tabs>
        <w:rPr/>
      </w:pPr>
      <w:hyperlink w:anchor="__RefHeading___Toc31857_1491107819">
        <w:r>
          <w:rPr>
            <w:webHidden/>
            <w:rStyle w:val="Verzeichnissprung"/>
            <w:vanish w:val="false"/>
          </w:rPr>
          <w:t>4.2 Grundsätzlich</w:t>
          <w:tab/>
          <w:t>16</w:t>
        </w:r>
      </w:hyperlink>
    </w:p>
    <w:p>
      <w:pPr>
        <w:pStyle w:val="Inhaltsverzeichnis2"/>
        <w:tabs>
          <w:tab w:val="right" w:pos="8504" w:leader="dot"/>
        </w:tabs>
        <w:rPr/>
      </w:pPr>
      <w:hyperlink w:anchor="__RefHeading___Toc31859_1491107819">
        <w:r>
          <w:rPr>
            <w:webHidden/>
            <w:rStyle w:val="Verzeichnissprung"/>
            <w:vanish w:val="false"/>
          </w:rPr>
          <w:t>4.3 Kontaktaufnahme</w:t>
          <w:tab/>
          <w:t>16</w:t>
        </w:r>
      </w:hyperlink>
    </w:p>
    <w:p>
      <w:pPr>
        <w:pStyle w:val="Inhaltsverzeichnis2"/>
        <w:tabs>
          <w:tab w:val="right" w:pos="8504" w:leader="dot"/>
        </w:tabs>
        <w:rPr/>
      </w:pPr>
      <w:hyperlink w:anchor="__RefHeading___Toc31861_1491107819">
        <w:r>
          <w:rPr>
            <w:webHidden/>
            <w:rStyle w:val="Verzeichnissprung"/>
            <w:vanish w:val="false"/>
          </w:rPr>
          <w:t>4.4 Erstgespräch</w:t>
          <w:tab/>
          <w:t>17</w:t>
        </w:r>
      </w:hyperlink>
    </w:p>
    <w:p>
      <w:pPr>
        <w:pStyle w:val="Inhaltsverzeichnis2"/>
        <w:tabs>
          <w:tab w:val="right" w:pos="8504" w:leader="dot"/>
        </w:tabs>
        <w:rPr/>
      </w:pPr>
      <w:hyperlink w:anchor="__RefHeading___Toc31863_1491107819">
        <w:r>
          <w:rPr>
            <w:webHidden/>
            <w:rStyle w:val="Verzeichnissprung"/>
            <w:vanish w:val="false"/>
          </w:rPr>
          <w:t>4.5 Zutrittskontrolle</w:t>
          <w:tab/>
          <w:t>17</w:t>
        </w:r>
      </w:hyperlink>
    </w:p>
    <w:p>
      <w:pPr>
        <w:pStyle w:val="Inhaltsverzeichnis2"/>
        <w:tabs>
          <w:tab w:val="right" w:pos="8504" w:leader="dot"/>
        </w:tabs>
        <w:rPr/>
      </w:pPr>
      <w:hyperlink w:anchor="__RefHeading___Toc31865_1491107819">
        <w:r>
          <w:rPr>
            <w:webHidden/>
            <w:rStyle w:val="Verzeichnissprung"/>
            <w:vanish w:val="false"/>
          </w:rPr>
          <w:t>4.6 Zugangskontrolle</w:t>
          <w:tab/>
          <w:t>18</w:t>
        </w:r>
      </w:hyperlink>
    </w:p>
    <w:p>
      <w:pPr>
        <w:pStyle w:val="Inhaltsverzeichnis2"/>
        <w:tabs>
          <w:tab w:val="right" w:pos="8504" w:leader="dot"/>
        </w:tabs>
        <w:rPr/>
      </w:pPr>
      <w:hyperlink w:anchor="__RefHeading___Toc31867_1491107819">
        <w:r>
          <w:rPr>
            <w:webHidden/>
            <w:rStyle w:val="Verzeichnissprung"/>
            <w:vanish w:val="false"/>
          </w:rPr>
          <w:t>4.7 Zugriffskontrolle</w:t>
          <w:tab/>
          <w:t>18</w:t>
        </w:r>
      </w:hyperlink>
    </w:p>
    <w:p>
      <w:pPr>
        <w:pStyle w:val="Inhaltsverzeichnis2"/>
        <w:tabs>
          <w:tab w:val="right" w:pos="8504" w:leader="dot"/>
        </w:tabs>
        <w:rPr/>
      </w:pPr>
      <w:hyperlink w:anchor="__RefHeading___Toc31869_1491107819">
        <w:r>
          <w:rPr>
            <w:webHidden/>
            <w:rStyle w:val="Verzeichnissprung"/>
            <w:vanish w:val="false"/>
          </w:rPr>
          <w:t>4.8 Weitergabekontrolle</w:t>
          <w:tab/>
          <w:t>19</w:t>
        </w:r>
      </w:hyperlink>
    </w:p>
    <w:p>
      <w:pPr>
        <w:pStyle w:val="Inhaltsverzeichnis2"/>
        <w:tabs>
          <w:tab w:val="right" w:pos="8504" w:leader="dot"/>
        </w:tabs>
        <w:rPr/>
      </w:pPr>
      <w:hyperlink w:anchor="__RefHeading___Toc31871_1491107819">
        <w:r>
          <w:rPr>
            <w:webHidden/>
            <w:rStyle w:val="Verzeichnissprung"/>
            <w:vanish w:val="false"/>
          </w:rPr>
          <w:t>4.9 Eingabekontrolle</w:t>
          <w:tab/>
          <w:t>19</w:t>
        </w:r>
      </w:hyperlink>
    </w:p>
    <w:p>
      <w:pPr>
        <w:pStyle w:val="Inhaltsverzeichnis2"/>
        <w:tabs>
          <w:tab w:val="right" w:pos="8504" w:leader="dot"/>
        </w:tabs>
        <w:rPr/>
      </w:pPr>
      <w:hyperlink w:anchor="__RefHeading___Toc31873_1491107819">
        <w:r>
          <w:rPr>
            <w:webHidden/>
            <w:rStyle w:val="Verzeichnissprung"/>
            <w:vanish w:val="false"/>
          </w:rPr>
          <w:t>4.10 Auftragskontrolle</w:t>
          <w:tab/>
          <w:t>20</w:t>
        </w:r>
      </w:hyperlink>
    </w:p>
    <w:p>
      <w:pPr>
        <w:pStyle w:val="Inhaltsverzeichnis2"/>
        <w:tabs>
          <w:tab w:val="right" w:pos="8504" w:leader="dot"/>
        </w:tabs>
        <w:rPr/>
      </w:pPr>
      <w:hyperlink w:anchor="__RefHeading___Toc31875_1491107819">
        <w:r>
          <w:rPr>
            <w:webHidden/>
            <w:rStyle w:val="Verzeichnissprung"/>
            <w:vanish w:val="false"/>
          </w:rPr>
          <w:t>4.11 Verfügbarkeitskontrolle</w:t>
          <w:tab/>
          <w:t>20</w:t>
        </w:r>
      </w:hyperlink>
    </w:p>
    <w:p>
      <w:pPr>
        <w:pStyle w:val="Inhaltsverzeichnis2"/>
        <w:tabs>
          <w:tab w:val="right" w:pos="8504" w:leader="dot"/>
        </w:tabs>
        <w:rPr/>
      </w:pPr>
      <w:hyperlink w:anchor="__RefHeading___Toc31877_1491107819">
        <w:r>
          <w:rPr>
            <w:webHidden/>
            <w:rStyle w:val="Verzeichnissprung"/>
            <w:vanish w:val="false"/>
          </w:rPr>
          <w:t>4.12 Trennungsgebot</w:t>
          <w:tab/>
          <w:t>21</w:t>
        </w:r>
      </w:hyperlink>
    </w:p>
    <w:p>
      <w:pPr>
        <w:pStyle w:val="Inhaltsverzeichnis2"/>
        <w:tabs>
          <w:tab w:val="right" w:pos="8504" w:leader="dot"/>
        </w:tabs>
        <w:rPr/>
      </w:pPr>
      <w:hyperlink w:anchor="__RefHeading___Toc31879_1491107819">
        <w:r>
          <w:rPr>
            <w:webHidden/>
            <w:rStyle w:val="Verzeichnissprung"/>
            <w:vanish w:val="false"/>
          </w:rPr>
          <w:t>4.13 Verfahren zur regelmäßigen Überprüfung, Bewertung und Evaluierung</w:t>
          <w:tab/>
          <w:t>21</w:t>
        </w:r>
      </w:hyperlink>
    </w:p>
    <w:p>
      <w:pPr>
        <w:pStyle w:val="Inhaltsverzeichnis1"/>
        <w:tabs>
          <w:tab w:val="right" w:pos="8504" w:leader="dot"/>
        </w:tabs>
        <w:rPr/>
      </w:pPr>
      <w:hyperlink w:anchor="__RefHeading___Toc31881_1491107819">
        <w:r>
          <w:rPr>
            <w:webHidden/>
            <w:rStyle w:val="Verzeichnissprung"/>
            <w:vanish w:val="false"/>
          </w:rPr>
          <w:t>5 Betroffenenrechte wahren</w:t>
          <w:tab/>
          <w:t>22</w:t>
        </w:r>
      </w:hyperlink>
    </w:p>
    <w:p>
      <w:pPr>
        <w:pStyle w:val="Inhaltsverzeichnis2"/>
        <w:tabs>
          <w:tab w:val="right" w:pos="8504" w:leader="dot"/>
        </w:tabs>
        <w:rPr/>
      </w:pPr>
      <w:hyperlink w:anchor="__RefHeading___Toc31883_1491107819">
        <w:r>
          <w:rPr>
            <w:webHidden/>
            <w:rStyle w:val="Verzeichnissprung"/>
            <w:vanish w:val="false"/>
          </w:rPr>
          <w:t>5.1 Prozesse betreffs Betroffenenrechte</w:t>
          <w:tab/>
          <w:t>22</w:t>
        </w:r>
      </w:hyperlink>
    </w:p>
    <w:p>
      <w:pPr>
        <w:pStyle w:val="Inhaltsverzeichnis2"/>
        <w:tabs>
          <w:tab w:val="right" w:pos="8504" w:leader="dot"/>
        </w:tabs>
        <w:rPr/>
      </w:pPr>
      <w:hyperlink w:anchor="__RefHeading___Toc31885_1491107819">
        <w:r>
          <w:rPr>
            <w:webHidden/>
            <w:rStyle w:val="Verzeichnissprung"/>
            <w:vanish w:val="false"/>
          </w:rPr>
          <w:t>5.2 Meldung von Datenschutzverletzungen</w:t>
          <w:tab/>
          <w:t>24</w:t>
        </w:r>
      </w:hyperlink>
    </w:p>
    <w:p>
      <w:pPr>
        <w:pStyle w:val="Inhaltsverzeichnis1"/>
        <w:tabs>
          <w:tab w:val="right" w:pos="8504" w:leader="dot"/>
        </w:tabs>
        <w:rPr/>
      </w:pPr>
      <w:hyperlink w:anchor="__RefHeading___Toc31887_1491107819">
        <w:r>
          <w:rPr>
            <w:webHidden/>
            <w:rStyle w:val="Verzeichnissprung"/>
            <w:vanish w:val="false"/>
          </w:rPr>
          <w:t>6 Risikoanalyse</w:t>
          <w:tab/>
          <w:t>25</w:t>
        </w:r>
      </w:hyperlink>
    </w:p>
    <w:p>
      <w:pPr>
        <w:pStyle w:val="Inhaltsverzeichnis2"/>
        <w:tabs>
          <w:tab w:val="right" w:pos="8504" w:leader="dot"/>
        </w:tabs>
        <w:rPr/>
      </w:pPr>
      <w:hyperlink w:anchor="__RefHeading___Toc31889_1491107819">
        <w:r>
          <w:rPr>
            <w:webHidden/>
            <w:rStyle w:val="Verzeichnissprung"/>
            <w:vanish w:val="false"/>
          </w:rPr>
          <w:t>6.1 Risikoanalyse ohne Maßnahmen</w:t>
          <w:tab/>
          <w:t>25</w:t>
        </w:r>
      </w:hyperlink>
    </w:p>
    <w:p>
      <w:pPr>
        <w:pStyle w:val="Inhaltsverzeichnis2"/>
        <w:tabs>
          <w:tab w:val="right" w:pos="8504" w:leader="dot"/>
        </w:tabs>
        <w:rPr/>
      </w:pPr>
      <w:hyperlink w:anchor="__RefHeading___Toc31891_1491107819">
        <w:r>
          <w:rPr>
            <w:webHidden/>
            <w:rStyle w:val="Verzeichnissprung"/>
            <w:vanish w:val="false"/>
          </w:rPr>
          <w:t>6.2 Risiko-Matrix mit Maßnahmen</w:t>
          <w:tab/>
          <w:t>27</w:t>
        </w:r>
      </w:hyperlink>
    </w:p>
    <w:p>
      <w:pPr>
        <w:pStyle w:val="Inhaltsverzeichnis1"/>
        <w:tabs>
          <w:tab w:val="right" w:pos="8504" w:leader="dot"/>
        </w:tabs>
        <w:rPr/>
      </w:pPr>
      <w:hyperlink w:anchor="__RefHeading___Toc31893_1491107819">
        <w:r>
          <w:rPr>
            <w:webHidden/>
            <w:rStyle w:val="Verzeichnissprung"/>
            <w:vanish w:val="false"/>
          </w:rPr>
          <w:t>7 Zusammenfassung</w:t>
          <w:tab/>
          <w:t>27</w:t>
        </w:r>
      </w:hyperlink>
    </w:p>
    <w:p>
      <w:pPr>
        <w:pStyle w:val="Inhaltsverzeichnis1"/>
        <w:tabs>
          <w:tab w:val="right" w:pos="8504" w:leader="dot"/>
        </w:tabs>
        <w:rPr/>
      </w:pPr>
      <w:hyperlink w:anchor="__RefHeading___Toc31895_1491107819">
        <w:r>
          <w:rPr>
            <w:webHidden/>
            <w:rStyle w:val="Verzeichnissprung"/>
            <w:vanish w:val="false"/>
          </w:rPr>
          <w:t>8 Anhang</w:t>
          <w:tab/>
          <w:t>29</w:t>
        </w:r>
      </w:hyperlink>
    </w:p>
    <w:p>
      <w:pPr>
        <w:pStyle w:val="Inhaltsverzeichnis2"/>
        <w:tabs>
          <w:tab w:val="right" w:pos="8504" w:leader="dot"/>
        </w:tabs>
        <w:rPr/>
      </w:pPr>
      <w:hyperlink w:anchor="__RefHeading___Toc31897_1491107819">
        <w:r>
          <w:rPr>
            <w:webHidden/>
            <w:rStyle w:val="Verzeichnissprung"/>
            <w:vanish w:val="false"/>
          </w:rPr>
          <w:t>8.1 Informationsblatt über sensible Daten (Art 9 + 13 DSGVO)</w:t>
          <w:tab/>
          <w:t>29</w:t>
        </w:r>
      </w:hyperlink>
    </w:p>
    <w:p>
      <w:pPr>
        <w:pStyle w:val="Inhaltsverzeichnis2"/>
        <w:tabs>
          <w:tab w:val="right" w:pos="8504" w:leader="dot"/>
        </w:tabs>
        <w:rPr/>
      </w:pPr>
      <w:hyperlink w:anchor="__RefHeading___Toc31899_1491107819">
        <w:r>
          <w:rPr>
            <w:webHidden/>
            <w:rStyle w:val="Verzeichnissprung"/>
            <w:vanish w:val="false"/>
          </w:rPr>
          <w:t>8.2 Muster Datenschutzverletzung (WKO) an Behörde bzw Betroffene</w:t>
          <w:tab/>
          <w:t>33</w:t>
        </w:r>
      </w:hyperlink>
    </w:p>
    <w:p>
      <w:pPr>
        <w:pStyle w:val="Inhaltsverzeichnis2"/>
        <w:tabs>
          <w:tab w:val="right" w:pos="8504" w:leader="dot"/>
        </w:tabs>
        <w:rPr/>
      </w:pPr>
      <w:hyperlink w:anchor="__RefHeading___Toc31901_1491107819">
        <w:r>
          <w:rPr>
            <w:webHidden/>
            <w:rStyle w:val="Verzeichnissprung"/>
            <w:vanish w:val="false"/>
          </w:rPr>
          <w:t>8.3 Mustervertrag Auftragsverarbeitung (WKO)</w:t>
          <w:tab/>
          <w:t>35</w:t>
        </w:r>
      </w:hyperlink>
    </w:p>
    <w:p>
      <w:pPr>
        <w:pStyle w:val="Inhaltsverzeichnis2"/>
        <w:tabs>
          <w:tab w:val="right" w:pos="8504" w:leader="dot"/>
        </w:tabs>
        <w:rPr/>
      </w:pPr>
      <w:hyperlink w:anchor="__RefHeading___Toc31903_1491107819">
        <w:r>
          <w:rPr>
            <w:webHidden/>
            <w:rStyle w:val="Verzeichnissprung"/>
            <w:vanish w:val="false"/>
          </w:rPr>
          <w:t>8.4 Vorlage: Fernwartung und Pflege von IT-Systemen &amp; Datenschutz</w:t>
          <w:tab/>
          <w:t>37</w:t>
        </w:r>
      </w:hyperlink>
    </w:p>
    <w:p>
      <w:pPr>
        <w:pStyle w:val="Inhaltsverzeichnis2"/>
        <w:tabs>
          <w:tab w:val="right" w:pos="8504" w:leader="dot"/>
        </w:tabs>
        <w:rPr/>
      </w:pPr>
      <w:hyperlink w:anchor="__RefHeading___Toc31905_1491107819">
        <w:r>
          <w:rPr>
            <w:webHidden/>
            <w:rStyle w:val="Verzeichnissprung"/>
            <w:vanish w:val="false"/>
          </w:rPr>
          <w:t>8.5 Zusatz Verzeichnis: Kundenbetreuung und Kommunikation</w:t>
          <w:tab/>
          <w:t>38</w:t>
        </w:r>
      </w:hyperlink>
    </w:p>
    <w:p>
      <w:pPr>
        <w:pStyle w:val="Inhaltsverzeichnis2"/>
        <w:tabs>
          <w:tab w:val="right" w:pos="8504" w:leader="dot"/>
        </w:tabs>
        <w:rPr/>
      </w:pPr>
      <w:hyperlink w:anchor="__RefHeading___Toc31907_1491107819">
        <w:r>
          <w:rPr>
            <w:webHidden/>
            <w:rStyle w:val="Verzeichnissprung"/>
            <w:vanish w:val="false"/>
          </w:rPr>
          <w:t>8.6 Muster: Einwilligungserklärung für Newsletter</w:t>
          <w:tab/>
          <w:t>43</w:t>
        </w:r>
      </w:hyperlink>
    </w:p>
    <w:p>
      <w:pPr>
        <w:pStyle w:val="Inhaltsverzeichnis2"/>
        <w:tabs>
          <w:tab w:val="right" w:pos="8504" w:leader="dot"/>
        </w:tabs>
        <w:rPr/>
      </w:pPr>
      <w:hyperlink w:anchor="__RefHeading___Toc31909_1491107819">
        <w:r>
          <w:rPr>
            <w:webHidden/>
            <w:rStyle w:val="Verzeichnissprung"/>
            <w:vanish w:val="false"/>
          </w:rPr>
          <w:t>8.7 Muster: Auskunftserteilung</w:t>
          <w:tab/>
          <w:t>44</w:t>
        </w:r>
      </w:hyperlink>
    </w:p>
    <w:p>
      <w:pPr>
        <w:pStyle w:val="Inhaltsverzeichnis2"/>
        <w:tabs>
          <w:tab w:val="right" w:pos="8504" w:leader="dot"/>
        </w:tabs>
        <w:rPr/>
      </w:pPr>
      <w:hyperlink w:anchor="__RefHeading___Toc31911_1491107819">
        <w:r>
          <w:rPr>
            <w:webHidden/>
            <w:rStyle w:val="Verzeichnissprung"/>
            <w:vanish w:val="false"/>
          </w:rPr>
          <w:t>8.8 Muster: Verpflichtungserklärung zum Datengeheimnis und zur Wahrung von Geschäfts- und Betriebsgeheimnissen (WKO)</w:t>
          <w:tab/>
          <w:t>45</w:t>
        </w:r>
      </w:hyperlink>
    </w:p>
    <w:p>
      <w:pPr>
        <w:pStyle w:val="Normal"/>
        <w:tabs>
          <w:tab w:val="left" w:pos="4395" w:leader="none"/>
        </w:tabs>
        <w:rPr>
          <w:b/>
          <w:b/>
          <w:bCs/>
          <w:color w:val="CE181E"/>
        </w:rPr>
      </w:pPr>
      <w:r>
        <w:rPr>
          <w:b/>
          <w:bCs/>
          <w:color w:val="CE181E"/>
        </w:rPr>
      </w:r>
      <w:r>
        <w:rPr>
          <w:b/>
          <w:bCs/>
        </w:rPr>
        <w:fldChar w:fldCharType="end"/>
      </w:r>
    </w:p>
    <w:p>
      <w:pPr>
        <w:pStyle w:val="Normal"/>
        <w:tabs>
          <w:tab w:val="left" w:pos="4395" w:leader="none"/>
        </w:tabs>
        <w:rPr>
          <w:b/>
          <w:b/>
          <w:bCs/>
          <w:color w:val="CE181E"/>
        </w:rPr>
      </w:pPr>
      <w:r>
        <w:rPr>
          <w:b/>
          <w:bCs/>
          <w:color w:val="CE181E"/>
        </w:rPr>
      </w:r>
    </w:p>
    <w:p>
      <w:pPr>
        <w:pStyle w:val="Normal"/>
        <w:tabs>
          <w:tab w:val="left" w:pos="4395" w:leader="none"/>
        </w:tabs>
        <w:rPr>
          <w:b/>
          <w:b/>
          <w:bCs/>
          <w:color w:val="CE181E"/>
        </w:rPr>
      </w:pPr>
      <w:r>
        <w:rPr>
          <w:b/>
          <w:bCs/>
          <w:color w:val="CE181E"/>
        </w:rPr>
      </w:r>
    </w:p>
    <w:p>
      <w:pPr>
        <w:pStyle w:val="Normal"/>
        <w:tabs>
          <w:tab w:val="left" w:pos="4395" w:leader="none"/>
        </w:tabs>
        <w:rPr>
          <w:b/>
          <w:b/>
          <w:bCs/>
          <w:color w:val="CE181E"/>
        </w:rPr>
      </w:pPr>
      <w:r>
        <w:rPr>
          <w:b/>
          <w:bCs/>
          <w:color w:val="CE181E"/>
        </w:rPr>
      </w:r>
    </w:p>
    <w:p>
      <w:pPr>
        <w:pStyle w:val="Normal"/>
        <w:tabs>
          <w:tab w:val="left" w:pos="4395" w:leader="none"/>
        </w:tabs>
        <w:rPr>
          <w:b/>
          <w:b/>
          <w:bCs/>
          <w:color w:val="CE181E"/>
        </w:rPr>
      </w:pPr>
      <w:r>
        <w:rPr>
          <w:b/>
          <w:bCs/>
          <w:color w:val="CE181E"/>
        </w:rPr>
      </w:r>
    </w:p>
    <w:p>
      <w:pPr>
        <w:pStyle w:val="Normal"/>
        <w:tabs>
          <w:tab w:val="left" w:pos="4395" w:leader="none"/>
        </w:tabs>
        <w:rPr/>
      </w:pPr>
      <w:r>
        <w:rPr>
          <w:b/>
          <w:bCs/>
          <w:color w:val="CE181E"/>
        </w:rPr>
        <w:t>DISCLAIMER</w:t>
      </w:r>
      <w:r>
        <w:rPr/>
        <w:br/>
        <w:t xml:space="preserve">Sämtliche zur Verfügung gestellten Inhalte wurden mit der größtmöglichen Sorgfalt erstellt. Die Autoren, Christopher Temt und Michael Werzowa, übernehmen jedoch keine Gewähr für die Aktualität, Richtigkeit oder Vollständigkeit der bereitgestellten Informationen (einschließlich des Verweises auf externe Quellen). Die korrekte Datenschutzdokumentation und die TOMs erfordert stets eine konkrete Prüfung im Einzelfall, und meist auch Änderungen in den eigenen Prozessen, weshalb die Beiziehung eines Datenschutzberaters (z.B. </w:t>
      </w:r>
      <w:r>
        <w:fldChar w:fldCharType="begin"/>
      </w:r>
      <w:r>
        <w:rPr>
          <w:rStyle w:val="Internetlink"/>
        </w:rPr>
        <w:instrText> HYPERLINK "https://www.dataprivacydoctors.at/vorlagen/" \l "Newsletter"</w:instrText>
      </w:r>
      <w:r>
        <w:rPr>
          <w:rStyle w:val="Internetlink"/>
        </w:rPr>
        <w:fldChar w:fldCharType="separate"/>
      </w:r>
      <w:r>
        <w:rPr>
          <w:rStyle w:val="Internetlink"/>
        </w:rPr>
        <w:t>https://www.dataprivacydoctors.at</w:t>
      </w:r>
      <w:r>
        <w:rPr>
          <w:rStyle w:val="Internetlink"/>
        </w:rPr>
        <w:fldChar w:fldCharType="end"/>
      </w:r>
      <w:r>
        <w:fldChar w:fldCharType="begin"/>
      </w:r>
      <w:r>
        <w:rPr>
          <w:rStyle w:val="ListLabel127"/>
        </w:rPr>
        <w:instrText> HYPERLINK "https://www.dataprivacydoctors.at/vorlagen/" \l "Newsletter"</w:instrText>
      </w:r>
      <w:r>
        <w:rPr>
          <w:rStyle w:val="ListLabel127"/>
        </w:rPr>
        <w:fldChar w:fldCharType="separate"/>
      </w:r>
      <w:r>
        <w:rPr>
          <w:rStyle w:val="ListLabel127"/>
        </w:rPr>
        <w:t>/</w:t>
      </w:r>
      <w:r>
        <w:rPr>
          <w:rStyle w:val="ListLabel127"/>
        </w:rPr>
        <w:fldChar w:fldCharType="end"/>
      </w:r>
      <w:r>
        <w:rPr/>
        <w:t>) sowie eines Rechtsanwaltes, insbesondere bei der Erstellung oder Überprüfung von Verträgen, dringend empfohlen wird. Die zur Verfügung gestellten Inhalte stellen keine Beratungsleistung welcher Art auch immer dar und können eine Beratung auch nicht ersetzen.</w:t>
      </w:r>
    </w:p>
    <w:p>
      <w:pPr>
        <w:pStyle w:val="Normal"/>
        <w:tabs>
          <w:tab w:val="left" w:pos="4395" w:leader="none"/>
        </w:tabs>
        <w:rPr/>
      </w:pPr>
      <w:r>
        <w:rPr/>
        <w:t>Haftungsansprüche gegen den Christopher Temt, und/oder Michael Werzowa welche sich auf Schäden materieller oder ideeller Art, einschließlich entgangenen Gewinn oder sonstige direkte oder indirekte Folgeschäden, beziehen, die durch die Nutzung oder Nichtnutzung der zur Verfügung gestellten Informationen verursacht wurden, sind ausgeschlossen. Die Autoren behalten es sich ausdrücklich vor, Teile der zur Verfügung gestellten Information oder das gesamte Angebot ohne gesonderte Ankündigung zu verändern, zu ergänzen, zu löschen oder die Veröffentlichung zeitweise oder endgültig einzustellen.</w:t>
      </w:r>
    </w:p>
    <w:p>
      <w:pPr>
        <w:pStyle w:val="Normal"/>
        <w:rPr>
          <w:highlight w:val="yellow"/>
        </w:rPr>
      </w:pPr>
      <w:r>
        <w:rPr>
          <w:highlight w:val="yellow"/>
        </w:rPr>
      </w:r>
    </w:p>
    <w:p>
      <w:pPr>
        <w:pStyle w:val="Normal"/>
        <w:spacing w:before="0" w:after="0"/>
        <w:jc w:val="center"/>
        <w:textAlignment w:val="auto"/>
        <w:rPr/>
      </w:pPr>
      <w:r>
        <w:rPr>
          <w:sz w:val="26"/>
          <w:szCs w:val="26"/>
          <w:highlight w:val="yellow"/>
        </w:rPr>
        <w:t>In Gelb markiert, was Sie entsprechend der konkreten Situation</w:t>
        <w:br/>
        <w:t>in Ihrer Einzelpraxis bearbeiten bzw. ändern sollten</w:t>
      </w:r>
      <w:r>
        <w:br w:type="page"/>
      </w:r>
    </w:p>
    <w:p>
      <w:pPr>
        <w:pStyle w:val="Berschrift1"/>
        <w:numPr>
          <w:ilvl w:val="0"/>
          <w:numId w:val="4"/>
        </w:numPr>
        <w:rPr/>
      </w:pPr>
      <w:bookmarkStart w:id="18" w:name="__RefHeading___Toc31831_1491107819"/>
      <w:bookmarkStart w:id="19" w:name="_Toc511051783"/>
      <w:bookmarkStart w:id="20" w:name="_Toc501127948"/>
      <w:bookmarkStart w:id="21" w:name="_Toc501359965"/>
      <w:bookmarkStart w:id="22" w:name="_Toc501361185"/>
      <w:bookmarkStart w:id="23" w:name="_Toc501369286"/>
      <w:bookmarkStart w:id="24" w:name="_Toc501447629"/>
      <w:bookmarkStart w:id="25" w:name="_Toc501469368"/>
      <w:bookmarkStart w:id="26" w:name="_Toc501545381"/>
      <w:bookmarkStart w:id="27" w:name="_Toc501715465"/>
      <w:bookmarkStart w:id="28" w:name="_Toc503168889"/>
      <w:bookmarkStart w:id="29" w:name="_Toc503285663"/>
      <w:bookmarkStart w:id="30" w:name="_Toc503285898"/>
      <w:bookmarkStart w:id="31" w:name="_Toc503781181"/>
      <w:bookmarkStart w:id="32" w:name="_Toc503862742"/>
      <w:bookmarkStart w:id="33" w:name="_Toc503945402"/>
      <w:bookmarkStart w:id="34" w:name="_Toc504155852"/>
      <w:bookmarkStart w:id="35" w:name="_Toc504472766"/>
      <w:bookmarkStart w:id="36" w:name="_Toc505068700"/>
      <w:bookmarkStart w:id="37" w:name="_Toc505255049"/>
      <w:bookmarkStart w:id="38" w:name="_Toc505585718"/>
      <w:bookmarkStart w:id="39" w:name="_Toc505854321"/>
      <w:bookmarkStart w:id="40" w:name="_Toc505870218"/>
      <w:bookmarkStart w:id="41" w:name="_Toc507067625"/>
      <w:bookmarkStart w:id="42" w:name="_Toc513203930"/>
      <w:bookmarkStart w:id="43" w:name="_Toc514867347"/>
      <w:bookmarkStart w:id="44" w:name="_Toc517698053"/>
      <w:bookmarkEnd w:id="18"/>
      <w:r>
        <w:rPr/>
        <w:t>Allgemeine Angaben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Berschrift2"/>
        <w:numPr>
          <w:ilvl w:val="1"/>
          <w:numId w:val="4"/>
        </w:numPr>
        <w:rPr/>
      </w:pPr>
      <w:bookmarkStart w:id="45" w:name="__RefHeading___Toc31833_1491107819"/>
      <w:bookmarkStart w:id="46" w:name="_Toc511051784"/>
      <w:bookmarkStart w:id="47" w:name="_Toc507067626"/>
      <w:bookmarkStart w:id="48" w:name="_Toc505870219"/>
      <w:bookmarkStart w:id="49" w:name="_Toc505854322"/>
      <w:bookmarkStart w:id="50" w:name="_Toc505585719"/>
      <w:bookmarkStart w:id="51" w:name="_Toc505255050"/>
      <w:bookmarkStart w:id="52" w:name="_Toc505068701"/>
      <w:bookmarkStart w:id="53" w:name="_Toc504472767"/>
      <w:bookmarkStart w:id="54" w:name="_Toc504155853"/>
      <w:bookmarkStart w:id="55" w:name="_Toc503945403"/>
      <w:bookmarkStart w:id="56" w:name="_Toc503862743"/>
      <w:bookmarkStart w:id="57" w:name="_Toc503781182"/>
      <w:bookmarkStart w:id="58" w:name="_Toc503285899"/>
      <w:bookmarkStart w:id="59" w:name="_Toc503285664"/>
      <w:bookmarkStart w:id="60" w:name="_Toc503168890"/>
      <w:bookmarkStart w:id="61" w:name="_Toc501715466"/>
      <w:bookmarkStart w:id="62" w:name="_Toc501545382"/>
      <w:bookmarkStart w:id="63" w:name="_Toc501469369"/>
      <w:bookmarkStart w:id="64" w:name="_Toc501447630"/>
      <w:bookmarkStart w:id="65" w:name="_Toc501369287"/>
      <w:bookmarkStart w:id="66" w:name="_Toc501361186"/>
      <w:bookmarkStart w:id="67" w:name="_Toc501359966"/>
      <w:bookmarkStart w:id="68" w:name="_Toc513203931"/>
      <w:bookmarkStart w:id="69" w:name="_Toc514867348"/>
      <w:bookmarkStart w:id="70" w:name="_Toc517698054"/>
      <w:bookmarkStart w:id="71" w:name="_Toc501127949"/>
      <w:bookmarkEnd w:id="45"/>
      <w:r>
        <w:rPr/>
        <w:t>Datenschutz-</w:t>
      </w:r>
      <w:bookmarkEnd w:id="71"/>
      <w:r>
        <w:rPr/>
        <w:t>Konzept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Normal"/>
        <w:rPr/>
      </w:pPr>
      <w:r>
        <w:rPr/>
        <w:t>Dieses Datenschutzkonzept beruht auf den in Art 5 Z 1 DSGVO formulierten Grundsätzen wie Zweckbindung, Datenminimierung, Speicherbegrenzung sowie Integrität und Vertraulichkeit und ist rechtmäßig (Art 6 DSGVO). Die von der DSGVO geforderte Einhaltung der Verordnungskonformität (Art. 5 Z 2; Art 24 Z 1), der Einhaltung der Betroffenenrechte ( Art 13-20), der Meldepflicht bei Datenschutzverletzung (Art 33-34), der Nachweis- und Rechenschaftspflicht (Art 5 Z 2, Art 24 Z 1) ist gewährleistet. Ein Kontroll- und Verbesserungsprozess wird mindestens 1x jährlich durchgeführt (Art 32 Z 1 ).</w:t>
      </w:r>
    </w:p>
    <w:p>
      <w:pPr>
        <w:pStyle w:val="Berschrift2"/>
        <w:numPr>
          <w:ilvl w:val="1"/>
          <w:numId w:val="4"/>
        </w:numPr>
        <w:rPr/>
      </w:pPr>
      <w:bookmarkStart w:id="72" w:name="__RefHeading___Toc31835_1491107819"/>
      <w:bookmarkStart w:id="73" w:name="_Toc511051785"/>
      <w:bookmarkStart w:id="74" w:name="_Toc501127950"/>
      <w:bookmarkStart w:id="75" w:name="_Toc507067627"/>
      <w:bookmarkStart w:id="76" w:name="_Toc505870220"/>
      <w:bookmarkStart w:id="77" w:name="_Toc505854323"/>
      <w:bookmarkStart w:id="78" w:name="_Toc505585720"/>
      <w:bookmarkStart w:id="79" w:name="_Toc505255051"/>
      <w:bookmarkStart w:id="80" w:name="_Toc505068702"/>
      <w:bookmarkStart w:id="81" w:name="_Toc504472768"/>
      <w:bookmarkStart w:id="82" w:name="_Toc504155854"/>
      <w:bookmarkStart w:id="83" w:name="_Toc503945404"/>
      <w:bookmarkStart w:id="84" w:name="_Toc503862744"/>
      <w:bookmarkStart w:id="85" w:name="_Toc503781183"/>
      <w:bookmarkStart w:id="86" w:name="_Toc503285900"/>
      <w:bookmarkStart w:id="87" w:name="_Toc503285665"/>
      <w:bookmarkStart w:id="88" w:name="_Toc503168891"/>
      <w:bookmarkStart w:id="89" w:name="_Toc501715467"/>
      <w:bookmarkStart w:id="90" w:name="_Toc501545383"/>
      <w:bookmarkStart w:id="91" w:name="_Toc501469370"/>
      <w:bookmarkStart w:id="92" w:name="_Toc501447631"/>
      <w:bookmarkStart w:id="93" w:name="_Toc501369288"/>
      <w:bookmarkStart w:id="94" w:name="_Toc501361187"/>
      <w:bookmarkStart w:id="95" w:name="_Toc501359967"/>
      <w:bookmarkStart w:id="96" w:name="_Toc513203932"/>
      <w:bookmarkStart w:id="97" w:name="_Toc514867349"/>
      <w:bookmarkStart w:id="98" w:name="_Toc517698055"/>
      <w:bookmarkEnd w:id="72"/>
      <w:r>
        <w:rPr/>
        <w:t>Sachliche und räumliche Tätigkeit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Normal"/>
        <w:rPr/>
      </w:pPr>
      <w:r>
        <w:rPr/>
        <w:t xml:space="preserve">Ich führe eine therapeutische Einzelpraxis und verarbeite daher als Einzelpersonen-unternehmen (EPU) personenbezogene Daten von natürlichen Personen auch unter 14 Lebensjahren (Kinder gemäß Art 8 DSGVO) ganz oder teilweise automatisiert und habe meine Niederlassung in der EU, in </w:t>
      </w:r>
      <w:r>
        <w:rPr>
          <w:highlight w:val="yellow"/>
        </w:rPr>
        <w:t>Adresse</w:t>
      </w:r>
      <w:r>
        <w:rPr/>
        <w:t>, Österreich.</w:t>
      </w:r>
    </w:p>
    <w:p>
      <w:pPr>
        <w:pStyle w:val="Normal"/>
        <w:rPr/>
      </w:pPr>
      <w:r>
        <w:rPr/>
        <w:t>Referenzen: Art 2 + 3 + 4 DSGVO, EuGH Entscheidung Weltimmo v. NAIH (C-230/34)</w:t>
      </w:r>
    </w:p>
    <w:p>
      <w:pPr>
        <w:pStyle w:val="Berschrift2"/>
        <w:numPr>
          <w:ilvl w:val="1"/>
          <w:numId w:val="4"/>
        </w:numPr>
        <w:rPr/>
      </w:pPr>
      <w:bookmarkStart w:id="99" w:name="__RefHeading___Toc31837_1491107819"/>
      <w:bookmarkStart w:id="100" w:name="_Toc511051786"/>
      <w:bookmarkStart w:id="101" w:name="_Toc501127951"/>
      <w:bookmarkStart w:id="102" w:name="_Toc507067628"/>
      <w:bookmarkStart w:id="103" w:name="_Toc505870221"/>
      <w:bookmarkStart w:id="104" w:name="_Toc505854324"/>
      <w:bookmarkStart w:id="105" w:name="_Toc505585721"/>
      <w:bookmarkStart w:id="106" w:name="_Toc505255052"/>
      <w:bookmarkStart w:id="107" w:name="_Toc505068703"/>
      <w:bookmarkStart w:id="108" w:name="_Toc504472769"/>
      <w:bookmarkStart w:id="109" w:name="_Toc504155855"/>
      <w:bookmarkStart w:id="110" w:name="_Toc503945405"/>
      <w:bookmarkStart w:id="111" w:name="_Toc503862745"/>
      <w:bookmarkStart w:id="112" w:name="_Toc503781184"/>
      <w:bookmarkStart w:id="113" w:name="_Toc503285901"/>
      <w:bookmarkStart w:id="114" w:name="_Toc503285666"/>
      <w:bookmarkStart w:id="115" w:name="_Toc503168892"/>
      <w:bookmarkStart w:id="116" w:name="_Toc501715468"/>
      <w:bookmarkStart w:id="117" w:name="_Toc501545384"/>
      <w:bookmarkStart w:id="118" w:name="_Toc501469371"/>
      <w:bookmarkStart w:id="119" w:name="_Toc501447632"/>
      <w:bookmarkStart w:id="120" w:name="_Toc501369289"/>
      <w:bookmarkStart w:id="121" w:name="_Toc501361188"/>
      <w:bookmarkStart w:id="122" w:name="_Toc501359968"/>
      <w:bookmarkStart w:id="123" w:name="_Toc513203933"/>
      <w:bookmarkStart w:id="124" w:name="_Toc514867350"/>
      <w:bookmarkStart w:id="125" w:name="_Toc517698056"/>
      <w:bookmarkEnd w:id="99"/>
      <w:r>
        <w:rPr/>
        <w:t>Datenschutzbeauftragter (DSB)</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Normal"/>
        <w:rPr/>
      </w:pPr>
      <w:r>
        <w:rPr/>
        <w:t>Trifft einer der nachfolgenden Kriterien zu, ist ein externer oder interner DSB notwendig und zu bestellen:</w:t>
      </w:r>
    </w:p>
    <w:tbl>
      <w:tblPr>
        <w:tblW w:w="850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6946"/>
        <w:gridCol w:w="709"/>
        <w:gridCol w:w="850"/>
      </w:tblGrid>
      <w:tr>
        <w:trPr/>
        <w:tc>
          <w:tcPr>
            <w:tcW w:w="6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Kriterium</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Ja</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Nein</w:t>
            </w:r>
          </w:p>
        </w:tc>
      </w:tr>
      <w:tr>
        <w:trPr/>
        <w:tc>
          <w:tcPr>
            <w:tcW w:w="6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cs="Calibri"/>
              </w:rPr>
            </w:pPr>
            <w:r>
              <w:rPr>
                <w:rFonts w:cs="Calibri"/>
              </w:rPr>
              <w:t>Verarbeitung der Daten durch eine Behörde oder eine öffentliche Stelle, mit Ausnahme der Gerichte</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t>X</w:t>
            </w:r>
          </w:p>
        </w:tc>
      </w:tr>
      <w:tr>
        <w:trPr/>
        <w:tc>
          <w:tcPr>
            <w:tcW w:w="6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cs="Calibri"/>
              </w:rPr>
            </w:pPr>
            <w:r>
              <w:rPr>
                <w:rFonts w:cs="Calibri"/>
              </w:rPr>
              <w:t>Verarbeitung der personenbezogenen Daten stellt eine Kerntätigkeit der Organisation dar und/oder erfordert eine umfangreiche regelmäßige und systematische Überwachung der betroffenen Person</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t>X</w:t>
            </w:r>
          </w:p>
        </w:tc>
      </w:tr>
      <w:tr>
        <w:trPr/>
        <w:tc>
          <w:tcPr>
            <w:tcW w:w="6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cs="Calibri"/>
              </w:rPr>
            </w:pPr>
            <w:r>
              <w:rPr>
                <w:rFonts w:cs="Calibri"/>
              </w:rPr>
              <w:t>Verarbeitung besonders schutzwürdige Kategorien personenbezogenen Daten (Art 9 Z 1 DSGVO wie z.B. Gesundheitsdaten, ethische Herkunft, genetische bzw. biometrische Daten, Gewerkschaftszugehörigkeit, usw.) stellt eine Kerntätigkeit der Organisation dar</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t>X</w:t>
            </w:r>
          </w:p>
        </w:tc>
      </w:tr>
    </w:tbl>
    <w:p>
      <w:pPr>
        <w:pStyle w:val="Normal"/>
        <w:rPr/>
      </w:pPr>
      <w:r>
        <w:rPr/>
        <w:tab/>
        <w:t>Referenzen: Art 37 DSGVO, Erwägungsgründe 97</w:t>
      </w:r>
    </w:p>
    <w:p>
      <w:pPr>
        <w:pStyle w:val="Normal"/>
        <w:rPr/>
      </w:pPr>
      <w:r>
        <w:rPr/>
        <w:t>Da für mein EPU keiner der obigen Kriterien zutrifft und die Verarbeitung von Art 9 Daten weder umfangreich noch eine Kerntätigkeit ist, wird kein DSB bestellt.</w:t>
      </w:r>
    </w:p>
    <w:p>
      <w:pPr>
        <w:pStyle w:val="Berschrift2"/>
        <w:numPr>
          <w:ilvl w:val="1"/>
          <w:numId w:val="4"/>
        </w:numPr>
        <w:rPr/>
      </w:pPr>
      <w:bookmarkStart w:id="126" w:name="__RefHeading___Toc31839_1491107819"/>
      <w:bookmarkStart w:id="127" w:name="_Toc511051787"/>
      <w:bookmarkStart w:id="128" w:name="_Toc501127952"/>
      <w:bookmarkStart w:id="129" w:name="_Toc507067629"/>
      <w:bookmarkStart w:id="130" w:name="_Toc505870222"/>
      <w:bookmarkStart w:id="131" w:name="_Toc505854325"/>
      <w:bookmarkStart w:id="132" w:name="_Toc505585722"/>
      <w:bookmarkStart w:id="133" w:name="_Toc505255053"/>
      <w:bookmarkStart w:id="134" w:name="_Toc505068704"/>
      <w:bookmarkStart w:id="135" w:name="_Toc504472770"/>
      <w:bookmarkStart w:id="136" w:name="_Toc504155856"/>
      <w:bookmarkStart w:id="137" w:name="_Toc503945406"/>
      <w:bookmarkStart w:id="138" w:name="_Toc503862746"/>
      <w:bookmarkStart w:id="139" w:name="_Toc503781185"/>
      <w:bookmarkStart w:id="140" w:name="_Toc503285902"/>
      <w:bookmarkStart w:id="141" w:name="_Toc503285667"/>
      <w:bookmarkStart w:id="142" w:name="_Toc503168893"/>
      <w:bookmarkStart w:id="143" w:name="_Toc501715469"/>
      <w:bookmarkStart w:id="144" w:name="_Toc501545385"/>
      <w:bookmarkStart w:id="145" w:name="_Toc501469372"/>
      <w:bookmarkStart w:id="146" w:name="_Toc501447633"/>
      <w:bookmarkStart w:id="147" w:name="_Toc501369290"/>
      <w:bookmarkStart w:id="148" w:name="_Toc501361189"/>
      <w:bookmarkStart w:id="149" w:name="_Toc501359969"/>
      <w:bookmarkStart w:id="150" w:name="_Toc513203934"/>
      <w:bookmarkStart w:id="151" w:name="_Toc514867351"/>
      <w:bookmarkStart w:id="152" w:name="_Toc517698057"/>
      <w:bookmarkEnd w:id="126"/>
      <w:r>
        <w:rPr/>
        <w:t>Verantwortliche (Stammdaten)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Normal"/>
        <w:jc w:val="center"/>
        <w:rPr/>
      </w:pPr>
      <w:r>
        <w:rPr>
          <w:i/>
          <w:highlight w:val="yellow"/>
        </w:rPr>
        <w:t>Titel / Vor-und Zuname</w:t>
        <w:br/>
        <w:t>Straße</w:t>
        <w:br/>
        <w:t>PLZ-Ort</w:t>
        <w:br/>
        <w:t>Email: …………...@…………………….</w:t>
        <w:br/>
        <w:t>Tel.:</w:t>
      </w:r>
    </w:p>
    <w:p>
      <w:pPr>
        <w:pStyle w:val="Normal"/>
        <w:rPr/>
      </w:pPr>
      <w:r>
        <w:rPr/>
        <w:t>Referenzen: Art 4 Z 7 DSGVO</w:t>
      </w:r>
      <w:bookmarkStart w:id="153" w:name="_Toc501127953"/>
      <w:bookmarkStart w:id="154" w:name="_Toc501359970"/>
      <w:bookmarkStart w:id="155" w:name="_Toc501361190"/>
      <w:bookmarkStart w:id="156" w:name="_Toc501369291"/>
      <w:bookmarkStart w:id="157" w:name="_Toc501447634"/>
      <w:bookmarkStart w:id="158" w:name="_Toc501469373"/>
      <w:bookmarkStart w:id="159" w:name="_Toc501545386"/>
      <w:bookmarkStart w:id="160" w:name="_Toc501715470"/>
      <w:bookmarkStart w:id="161" w:name="_Toc503168894"/>
      <w:bookmarkStart w:id="162" w:name="_Toc503285668"/>
      <w:bookmarkStart w:id="163" w:name="_Toc503285903"/>
      <w:bookmarkStart w:id="164" w:name="_Toc503781186"/>
      <w:bookmarkStart w:id="165" w:name="_Toc503862747"/>
      <w:bookmarkStart w:id="166" w:name="_Toc503945407"/>
      <w:bookmarkStart w:id="167" w:name="_Toc504155857"/>
      <w:bookmarkStart w:id="168" w:name="_Toc504472771"/>
      <w:bookmarkStart w:id="169" w:name="_Toc505068705"/>
      <w:bookmarkStart w:id="170" w:name="_Toc505255054"/>
      <w:bookmarkStart w:id="171" w:name="_Toc505585723"/>
      <w:bookmarkStart w:id="172" w:name="_Toc505854326"/>
      <w:bookmarkStart w:id="173" w:name="_Toc505870223"/>
      <w:bookmarkStart w:id="174" w:name="_Toc511051788"/>
      <w:bookmarkStart w:id="175" w:name="_Toc507067630"/>
      <w:bookmarkStart w:id="176" w:name="__RefHeading___Toc12328_3966647769"/>
      <w:bookmarkEnd w:id="176"/>
    </w:p>
    <w:p>
      <w:pPr>
        <w:pStyle w:val="Normal"/>
        <w:rPr/>
      </w:pPr>
      <w:r>
        <w:rPr/>
        <w:t>Schulung im Bereich Datenschutz und Datensicherheit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Normal"/>
        <w:rPr/>
      </w:pPr>
      <w:r>
        <w:rPr/>
        <w:t>Ich habe an folgende Schulungen bzw. Seminaren betreffs der DSGVO teilgenommen:</w:t>
      </w:r>
    </w:p>
    <w:tbl>
      <w:tblPr>
        <w:tblW w:w="8691"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3399"/>
        <w:gridCol w:w="1700"/>
        <w:gridCol w:w="1301"/>
        <w:gridCol w:w="2290"/>
      </w:tblGrid>
      <w:tr>
        <w:trPr/>
        <w:tc>
          <w:tcPr>
            <w:tcW w:w="3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Bezeichnung der Veranstaltung</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Veranstalter</w:t>
            </w:r>
          </w:p>
        </w:tc>
        <w:tc>
          <w:tcPr>
            <w:tcW w:w="1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Datum</w:t>
            </w:r>
          </w:p>
        </w:tc>
        <w:tc>
          <w:tcPr>
            <w:tcW w:w="2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Nachweis/Zertifikat</w:t>
              <w:br/>
              <w:t>Anhang Nr.:</w:t>
            </w:r>
          </w:p>
        </w:tc>
      </w:tr>
      <w:tr>
        <w:trPr/>
        <w:tc>
          <w:tcPr>
            <w:tcW w:w="3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t>Die EU-DSGVO für PsychotherapeutInnen - Einführung</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r>
          </w:p>
        </w:tc>
        <w:tc>
          <w:tcPr>
            <w:tcW w:w="1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r>
          </w:p>
        </w:tc>
        <w:tc>
          <w:tcPr>
            <w:tcW w:w="2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t>Teilnahmebestätigung</w:t>
            </w:r>
          </w:p>
        </w:tc>
      </w:tr>
    </w:tbl>
    <w:p>
      <w:pPr>
        <w:pStyle w:val="Normal"/>
        <w:ind w:firstLine="576"/>
        <w:rPr/>
      </w:pPr>
      <w:r>
        <w:rPr/>
        <w:t>Referenzen: Art 4, 5-11 DSGVO</w:t>
      </w:r>
    </w:p>
    <w:p>
      <w:pPr>
        <w:pStyle w:val="Berschrift3"/>
        <w:numPr>
          <w:ilvl w:val="2"/>
          <w:numId w:val="4"/>
        </w:numPr>
        <w:rPr/>
      </w:pPr>
      <w:bookmarkStart w:id="177" w:name="__RefHeading___Toc12330_3966647769"/>
      <w:bookmarkStart w:id="178" w:name="_Toc511051789"/>
      <w:bookmarkStart w:id="179" w:name="_Toc501127954"/>
      <w:bookmarkStart w:id="180" w:name="_Toc507067631"/>
      <w:bookmarkStart w:id="181" w:name="_Toc505870224"/>
      <w:bookmarkStart w:id="182" w:name="_Toc505854327"/>
      <w:bookmarkStart w:id="183" w:name="_Toc505585724"/>
      <w:bookmarkStart w:id="184" w:name="_Toc505255055"/>
      <w:bookmarkStart w:id="185" w:name="_Toc505068706"/>
      <w:bookmarkStart w:id="186" w:name="_Toc504472772"/>
      <w:bookmarkStart w:id="187" w:name="_Toc504155858"/>
      <w:bookmarkStart w:id="188" w:name="_Toc503945408"/>
      <w:bookmarkStart w:id="189" w:name="_Toc503862748"/>
      <w:bookmarkStart w:id="190" w:name="_Toc503781187"/>
      <w:bookmarkStart w:id="191" w:name="_Toc503285904"/>
      <w:bookmarkStart w:id="192" w:name="_Toc503285669"/>
      <w:bookmarkStart w:id="193" w:name="_Toc503168895"/>
      <w:bookmarkStart w:id="194" w:name="_Toc501715471"/>
      <w:bookmarkStart w:id="195" w:name="_Toc501545387"/>
      <w:bookmarkStart w:id="196" w:name="_Toc501469374"/>
      <w:bookmarkStart w:id="197" w:name="_Toc501447635"/>
      <w:bookmarkStart w:id="198" w:name="_Toc501369292"/>
      <w:bookmarkStart w:id="199" w:name="_Toc501361191"/>
      <w:bookmarkStart w:id="200" w:name="_Toc501359971"/>
      <w:bookmarkEnd w:id="177"/>
      <w:r>
        <w:rPr/>
        <w:t>Weiterbildung und Stand der Technik</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ormal"/>
        <w:rPr/>
      </w:pPr>
      <w:r>
        <w:rPr/>
        <w:t>Betreffs Weiterbildung und Stand der Technik setze ich folgende Aktivität:</w:t>
      </w:r>
    </w:p>
    <w:tbl>
      <w:tblPr>
        <w:tblW w:w="867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018"/>
        <w:gridCol w:w="5530"/>
        <w:gridCol w:w="1128"/>
      </w:tblGrid>
      <w:tr>
        <w:trPr/>
        <w:tc>
          <w:tcPr>
            <w:tcW w:w="2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Aktivitäten</w:t>
            </w:r>
          </w:p>
        </w:tc>
        <w:tc>
          <w:tcPr>
            <w:tcW w:w="5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Veranstalter</w:t>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sonstiges</w:t>
            </w:r>
          </w:p>
        </w:tc>
      </w:tr>
      <w:tr>
        <w:trPr/>
        <w:tc>
          <w:tcPr>
            <w:tcW w:w="2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t>Info- u. Weiterbildungsveran</w:t>
              <w:softHyphen/>
              <w:t>staltungen</w:t>
            </w:r>
          </w:p>
        </w:tc>
        <w:tc>
          <w:tcPr>
            <w:tcW w:w="5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r>
          </w:p>
        </w:tc>
      </w:tr>
      <w:tr>
        <w:trPr/>
        <w:tc>
          <w:tcPr>
            <w:tcW w:w="2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t>Homepages bzw. Newsletter</w:t>
            </w:r>
          </w:p>
        </w:tc>
        <w:tc>
          <w:tcPr>
            <w:tcW w:w="5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sz w:val="20"/>
              </w:rPr>
            </w:pPr>
            <w:r>
              <w:rPr>
                <w:sz w:val="20"/>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highlight w:val="yellow"/>
              </w:rPr>
            </w:pPr>
            <w:r>
              <w:rPr>
                <w:highlight w:val="yellow"/>
              </w:rPr>
            </w:r>
          </w:p>
        </w:tc>
      </w:tr>
      <w:tr>
        <w:trPr/>
        <w:tc>
          <w:tcPr>
            <w:tcW w:w="2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r>
          </w:p>
        </w:tc>
        <w:tc>
          <w:tcPr>
            <w:tcW w:w="5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fldChar w:fldCharType="begin"/>
            </w:r>
            <w:r>
              <w:rPr>
                <w:rStyle w:val="ListLabel144"/>
              </w:rPr>
              <w:instrText> HYPERLINK "https://www.dataprivacydoctors.at/vorlagen/" \l "NewsletterAnmeldung"</w:instrText>
            </w:r>
            <w:r>
              <w:rPr>
                <w:rStyle w:val="ListLabel144"/>
              </w:rPr>
              <w:fldChar w:fldCharType="separate"/>
            </w:r>
            <w:bookmarkStart w:id="201" w:name="__DdeLink__56344_1065443354"/>
            <w:r>
              <w:rPr>
                <w:rStyle w:val="ListLabel144"/>
              </w:rPr>
              <w:t>https://www.dataprivacydoctors.at/vorlagen#NewsletterAnmeldung</w:t>
            </w:r>
            <w:r>
              <w:rPr>
                <w:rStyle w:val="ListLabel144"/>
              </w:rPr>
              <w:fldChar w:fldCharType="end"/>
            </w:r>
            <w:r>
              <w:rPr>
                <w:sz w:val="20"/>
              </w:rPr>
              <w:t xml:space="preserve"> </w:t>
            </w:r>
            <w:bookmarkEnd w:id="201"/>
            <w:r>
              <w:rPr>
                <w:sz w:val="20"/>
              </w:rPr>
              <w:t xml:space="preserve">  </w:t>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highlight w:val="yellow"/>
              </w:rPr>
            </w:pPr>
            <w:r>
              <w:rPr>
                <w:sz w:val="20"/>
                <w:szCs w:val="20"/>
                <w:highlight w:val="yellow"/>
              </w:rPr>
              <w:t>Newsletter</w:t>
            </w:r>
          </w:p>
        </w:tc>
      </w:tr>
      <w:tr>
        <w:trPr/>
        <w:tc>
          <w:tcPr>
            <w:tcW w:w="2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t>Beratung Datenschutzexperte</w:t>
            </w:r>
          </w:p>
        </w:tc>
        <w:tc>
          <w:tcPr>
            <w:tcW w:w="5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sz w:val="20"/>
              </w:rPr>
            </w:pPr>
            <w:r>
              <w:rPr>
                <w:sz w:val="20"/>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highlight w:val="yellow"/>
              </w:rPr>
            </w:pPr>
            <w:r>
              <w:rPr>
                <w:highlight w:val="yellow"/>
              </w:rPr>
            </w:r>
          </w:p>
        </w:tc>
      </w:tr>
      <w:tr>
        <w:trPr/>
        <w:tc>
          <w:tcPr>
            <w:tcW w:w="86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t xml:space="preserve">WKO: </w:t>
            </w:r>
            <w:hyperlink r:id="rId3">
              <w:r>
                <w:rPr>
                  <w:rStyle w:val="ListLabel145"/>
                </w:rPr>
                <w:t>https://www.wko.at/service/wirtschaftsrecht-gewerberecht/Informationen-zur-EU-Datenschutz-Grundverordnung.html</w:t>
              </w:r>
            </w:hyperlink>
            <w:r>
              <w:rPr>
                <w:rStyle w:val="ListLabel145"/>
                <w:sz w:val="16"/>
                <w:szCs w:val="16"/>
              </w:rPr>
              <w:t xml:space="preserve"> </w:t>
            </w:r>
          </w:p>
        </w:tc>
      </w:tr>
    </w:tbl>
    <w:p>
      <w:pPr>
        <w:pStyle w:val="Normal"/>
        <w:rPr/>
      </w:pPr>
      <w:r>
        <w:rPr/>
        <w:t>Referenzen: Art 4, 5-11 DSGVO</w:t>
      </w:r>
    </w:p>
    <w:p>
      <w:pPr>
        <w:pStyle w:val="Berschrift1"/>
        <w:numPr>
          <w:ilvl w:val="0"/>
          <w:numId w:val="4"/>
        </w:numPr>
        <w:rPr/>
      </w:pPr>
      <w:bookmarkStart w:id="202" w:name="__RefHeading___Toc31841_1491107819"/>
      <w:bookmarkStart w:id="203" w:name="_Toc513203935"/>
      <w:bookmarkStart w:id="204" w:name="_Toc514867352"/>
      <w:bookmarkStart w:id="205" w:name="_Toc517698058"/>
      <w:bookmarkEnd w:id="202"/>
      <w:r>
        <w:rPr/>
        <w:t>V</w:t>
      </w:r>
      <w:bookmarkStart w:id="206" w:name="_Toc511051790"/>
      <w:bookmarkStart w:id="207" w:name="_Toc501359972"/>
      <w:bookmarkStart w:id="208" w:name="_Toc501361192"/>
      <w:bookmarkStart w:id="209" w:name="_Toc501369293"/>
      <w:bookmarkStart w:id="210" w:name="_Toc501447636"/>
      <w:bookmarkStart w:id="211" w:name="_Toc501469375"/>
      <w:bookmarkStart w:id="212" w:name="_Toc501545388"/>
      <w:bookmarkStart w:id="213" w:name="_Toc501715472"/>
      <w:bookmarkStart w:id="214" w:name="_Toc503168896"/>
      <w:bookmarkStart w:id="215" w:name="_Toc503285670"/>
      <w:bookmarkStart w:id="216" w:name="_Toc503285905"/>
      <w:bookmarkStart w:id="217" w:name="_Toc503781188"/>
      <w:bookmarkStart w:id="218" w:name="_Toc503862749"/>
      <w:bookmarkStart w:id="219" w:name="_Toc503945409"/>
      <w:bookmarkStart w:id="220" w:name="_Toc504155859"/>
      <w:bookmarkStart w:id="221" w:name="_Toc504472773"/>
      <w:bookmarkStart w:id="222" w:name="_Toc505068707"/>
      <w:bookmarkStart w:id="223" w:name="_Toc505255056"/>
      <w:bookmarkStart w:id="224" w:name="_Toc505585725"/>
      <w:bookmarkStart w:id="225" w:name="_Toc505854328"/>
      <w:bookmarkStart w:id="226" w:name="_Toc505870225"/>
      <w:bookmarkStart w:id="227" w:name="_Toc507067632"/>
      <w:bookmarkStart w:id="228" w:name="_Toc501127955"/>
      <w:r>
        <w:rPr/>
        <w:t>erarbeitungs-Verzeichnisse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Normal"/>
        <w:rPr/>
      </w:pPr>
      <w:r>
        <w:rPr/>
        <w:t>Referenzen: Art 30, Art 31 DSGVO, Erwägungsgründe 13, 75, 76, 82, 89</w:t>
      </w:r>
    </w:p>
    <w:p>
      <w:pPr>
        <w:pStyle w:val="Berschrift2"/>
        <w:numPr>
          <w:ilvl w:val="1"/>
          <w:numId w:val="4"/>
        </w:numPr>
        <w:rPr/>
      </w:pPr>
      <w:bookmarkStart w:id="229" w:name="__RefHeading___Toc31843_1491107819"/>
      <w:bookmarkStart w:id="230" w:name="_Toc511051794"/>
      <w:bookmarkStart w:id="231" w:name="_Toc501127960"/>
      <w:bookmarkStart w:id="232" w:name="_Toc507067637"/>
      <w:bookmarkStart w:id="233" w:name="_Toc505870230"/>
      <w:bookmarkStart w:id="234" w:name="_Toc505854333"/>
      <w:bookmarkStart w:id="235" w:name="_Toc505585730"/>
      <w:bookmarkStart w:id="236" w:name="_Toc505255061"/>
      <w:bookmarkStart w:id="237" w:name="_Toc505068712"/>
      <w:bookmarkStart w:id="238" w:name="_Toc504472778"/>
      <w:bookmarkStart w:id="239" w:name="_Toc504155864"/>
      <w:bookmarkStart w:id="240" w:name="_Toc503945414"/>
      <w:bookmarkStart w:id="241" w:name="_Toc503862754"/>
      <w:bookmarkStart w:id="242" w:name="_Toc503781193"/>
      <w:bookmarkStart w:id="243" w:name="_Toc503285910"/>
      <w:bookmarkStart w:id="244" w:name="_Toc503285675"/>
      <w:bookmarkStart w:id="245" w:name="_Toc503168901"/>
      <w:bookmarkStart w:id="246" w:name="_Toc501715477"/>
      <w:bookmarkStart w:id="247" w:name="_Toc501545393"/>
      <w:bookmarkStart w:id="248" w:name="_Toc501469380"/>
      <w:bookmarkStart w:id="249" w:name="_Toc501447641"/>
      <w:bookmarkStart w:id="250" w:name="_Toc501369298"/>
      <w:bookmarkStart w:id="251" w:name="_Toc501361197"/>
      <w:bookmarkStart w:id="252" w:name="_Toc501359977"/>
      <w:bookmarkStart w:id="253" w:name="_Toc513203936"/>
      <w:bookmarkStart w:id="254" w:name="_Toc514867353"/>
      <w:bookmarkStart w:id="255" w:name="_Toc517698059"/>
      <w:bookmarkEnd w:id="229"/>
      <w:r>
        <w:rPr/>
        <w:t>Wurde eine Datenschutz-Folgenabschätzung durchgeführt?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Normal"/>
        <w:ind w:left="709" w:hanging="425"/>
        <w:rPr/>
      </w:pPr>
      <w:r>
        <w:rPr>
          <w:b/>
        </w:rPr>
        <w:t xml:space="preserve">Ja </w:t>
        <w:tab/>
        <w:t xml:space="preserve">  </w:t>
      </w:r>
      <w:r>
        <w:rPr>
          <w:rFonts w:eastAsia="Wingdings" w:cs="Wingdings" w:ascii="Wingdings" w:hAnsi="Wingdings"/>
          <w:b/>
        </w:rPr>
        <w:t></w:t>
      </w:r>
      <w:r>
        <w:rPr>
          <w:b/>
        </w:rPr>
        <w:t xml:space="preserve"> </w:t>
        <w:tab/>
        <w:tab/>
        <w:t>Nein</w:t>
        <w:tab/>
      </w:r>
      <w:r>
        <w:rPr>
          <w:b/>
          <w:sz w:val="28"/>
        </w:rPr>
        <w:t>X</w:t>
      </w:r>
    </w:p>
    <w:p>
      <w:pPr>
        <w:pStyle w:val="Normal"/>
        <w:ind w:left="709" w:hanging="425"/>
        <w:rPr/>
      </w:pPr>
      <w:bookmarkStart w:id="256" w:name="__RefHeading___Toc23990_2257849036"/>
      <w:bookmarkEnd w:id="256"/>
      <w:r>
        <w:rPr>
          <w:b/>
        </w:rPr>
        <w:t>Wenn Ja, wann?</w:t>
      </w:r>
    </w:p>
    <w:p>
      <w:pPr>
        <w:pStyle w:val="Normal"/>
        <w:ind w:left="709" w:hanging="425"/>
        <w:rPr/>
      </w:pPr>
      <w:bookmarkStart w:id="257" w:name="__RefHeading___Toc23992_2257849036"/>
      <w:bookmarkEnd w:id="257"/>
      <w:r>
        <w:rPr>
          <w:b/>
        </w:rPr>
        <w:t>Wenn Nein, aus welchem Grund nicht?</w:t>
      </w:r>
    </w:p>
    <w:p>
      <w:pPr>
        <w:pStyle w:val="Normal"/>
        <w:rPr>
          <w:rFonts w:cs="Calibri"/>
          <w:color w:val="000000"/>
        </w:rPr>
      </w:pPr>
      <w:r>
        <w:rPr/>
        <w:t>Eine Datenschutz-Folgenabschätzung ist nicht durchzuführen, da sowohl aufgrund der Art, des Umfangs, der Umstände und der Zwecke der Datenverarbeitung voraussichtlich kein</w:t>
      </w:r>
      <w:r>
        <w:rPr>
          <w:rFonts w:cs="Calibri"/>
          <w:color w:val="000000"/>
        </w:rPr>
        <w:t xml:space="preserve"> hohes Risiko für die Rechte und Freiheiten natürlicher Personen besteht – siehe </w:t>
      </w:r>
      <w:r>
        <w:rPr/>
        <w:t>Risikobewertung und Maßnahmen</w:t>
      </w:r>
      <w:r>
        <w:rPr>
          <w:rFonts w:cs="Calibri"/>
          <w:color w:val="000000"/>
        </w:rPr>
        <w:t xml:space="preserve">, da keine </w:t>
      </w:r>
      <w:r>
        <w:rPr>
          <w:rFonts w:cs="Calibri"/>
          <w:color w:val="000000"/>
          <w:u w:val="single"/>
        </w:rPr>
        <w:t>automatisierte</w:t>
      </w:r>
      <w:r>
        <w:rPr>
          <w:rFonts w:cs="Calibri"/>
          <w:color w:val="000000"/>
        </w:rPr>
        <w:t xml:space="preserve"> systematische und umfassende Bewertung persönlicher Aspekte natürlicher Personen erfolgt und da ebenso </w:t>
      </w:r>
      <w:r>
        <w:rPr>
          <w:rFonts w:cs="Calibri"/>
          <w:color w:val="000000"/>
          <w:u w:val="single"/>
        </w:rPr>
        <w:t>keine umfangreichen</w:t>
      </w:r>
      <w:r>
        <w:rPr>
          <w:rStyle w:val="Funotenanker"/>
          <w:rStyle w:val="Funotenanker"/>
          <w:rFonts w:cs="Calibri"/>
          <w:color w:val="000000"/>
          <w:u w:val="single"/>
        </w:rPr>
        <w:footnoteReference w:id="2"/>
      </w:r>
      <w:r>
        <w:rPr>
          <w:rFonts w:cs="Calibri"/>
          <w:color w:val="000000"/>
        </w:rPr>
        <w:t xml:space="preserve"> </w:t>
      </w:r>
      <w:hyperlink r:id="rId4">
        <w:r>
          <w:rPr>
            <w:rStyle w:val="ListLabel146"/>
          </w:rPr>
          <w:t>Verarbeit</w:t>
        </w:r>
      </w:hyperlink>
      <w:hyperlink r:id="rId5">
        <w:r>
          <w:rPr>
            <w:rStyle w:val="ListLabel146"/>
          </w:rPr>
          <w:t>u</w:t>
        </w:r>
      </w:hyperlink>
      <w:hyperlink r:id="rId6">
        <w:r>
          <w:rPr>
            <w:rStyle w:val="ListLabel146"/>
          </w:rPr>
          <w:t>ng</w:t>
        </w:r>
      </w:hyperlink>
      <w:r>
        <w:rPr>
          <w:rFonts w:cs="Calibri"/>
          <w:color w:val="000000"/>
        </w:rPr>
        <w:t xml:space="preserve"> </w:t>
      </w:r>
      <w:r>
        <w:fldChar w:fldCharType="begin"/>
      </w:r>
      <w:r>
        <w:rPr>
          <w:rStyle w:val="ListLabel146"/>
        </w:rPr>
        <w:instrText> HYPERLINK "https://www.wko.at/service/wirtschaftsrecht-gewerberecht/EU-Datenschutz-Grundverordnung:-Wichtige-Begriffsbestimmu.html" \l "sensibl"</w:instrText>
      </w:r>
      <w:r>
        <w:rPr>
          <w:rStyle w:val="ListLabel146"/>
        </w:rPr>
        <w:fldChar w:fldCharType="separate"/>
      </w:r>
      <w:r>
        <w:rPr>
          <w:rStyle w:val="ListLabel146"/>
        </w:rPr>
        <w:t>sensibler Daten</w:t>
      </w:r>
      <w:r>
        <w:rPr>
          <w:rStyle w:val="ListLabel146"/>
        </w:rPr>
        <w:fldChar w:fldCharType="end"/>
      </w:r>
      <w:r>
        <w:rPr>
          <w:rFonts w:cs="Calibri"/>
          <w:color w:val="000000"/>
        </w:rPr>
        <w:t xml:space="preserve"> oder von personenbezogenen Daten über strafrechtliche Verurteilungen oder Straftaten erfolgt. </w:t>
      </w:r>
    </w:p>
    <w:p>
      <w:pPr>
        <w:pStyle w:val="Normal"/>
        <w:rPr/>
      </w:pPr>
      <w:r>
        <w:rPr/>
        <w:t>Referenzen: Art 35 Z1-3 DSGVO + Erwägungen 91</w:t>
      </w:r>
    </w:p>
    <w:p>
      <w:pPr>
        <w:pStyle w:val="Normal"/>
        <w:jc w:val="both"/>
        <w:rPr/>
      </w:pPr>
      <w:r>
        <w:rPr>
          <w:rFonts w:eastAsia="Times New Roman" w:cs="Calibri"/>
          <w:color w:val="000000"/>
          <w:lang w:val="de-DE" w:eastAsia="de-AT"/>
        </w:rPr>
        <w:t xml:space="preserve">Darüber hinaus hat die Datenschutzbehörde in Ihrer Datenschutz-Folgenabschätzung-Ausnahmenverordnung (DSFA-AV), BGBl. II Nr. 108/2018 festgehalten, dass alle meine Verarbeitungen Standard- und Muster-Verarbeitungen sind und somit keine Folgeabschätzungen notwendig sind. </w:t>
      </w:r>
    </w:p>
    <w:p>
      <w:pPr>
        <w:pStyle w:val="Normal"/>
        <w:jc w:val="both"/>
        <w:rPr/>
      </w:pPr>
      <w:r>
        <w:rPr>
          <w:rFonts w:eastAsia="Times New Roman" w:cs="Calibri"/>
          <w:color w:val="000000"/>
          <w:lang w:val="de-DE" w:eastAsia="de-AT"/>
        </w:rPr>
        <w:t>Referenzen: Art 35</w:t>
      </w:r>
    </w:p>
    <w:p>
      <w:pPr>
        <w:pStyle w:val="Berschrift2"/>
        <w:numPr>
          <w:ilvl w:val="1"/>
          <w:numId w:val="4"/>
        </w:numPr>
        <w:rPr/>
      </w:pPr>
      <w:bookmarkStart w:id="258" w:name="__RefHeading___Toc31845_1491107819"/>
      <w:bookmarkStart w:id="259" w:name="_Toc511051796"/>
      <w:bookmarkStart w:id="260" w:name="_Toc501127962"/>
      <w:bookmarkStart w:id="261" w:name="_Toc507067639"/>
      <w:bookmarkStart w:id="262" w:name="_Toc505870232"/>
      <w:bookmarkStart w:id="263" w:name="_Toc505854335"/>
      <w:bookmarkStart w:id="264" w:name="_Toc505585732"/>
      <w:bookmarkStart w:id="265" w:name="_Toc505255063"/>
      <w:bookmarkStart w:id="266" w:name="_Toc505068714"/>
      <w:bookmarkStart w:id="267" w:name="_Toc504472780"/>
      <w:bookmarkStart w:id="268" w:name="_Toc504155866"/>
      <w:bookmarkStart w:id="269" w:name="_Toc503945416"/>
      <w:bookmarkStart w:id="270" w:name="_Toc503862756"/>
      <w:bookmarkStart w:id="271" w:name="_Toc503781195"/>
      <w:bookmarkStart w:id="272" w:name="_Toc503285912"/>
      <w:bookmarkStart w:id="273" w:name="_Toc503285677"/>
      <w:bookmarkStart w:id="274" w:name="_Toc503168903"/>
      <w:bookmarkStart w:id="275" w:name="_Toc501715479"/>
      <w:bookmarkStart w:id="276" w:name="_Toc501545395"/>
      <w:bookmarkStart w:id="277" w:name="_Toc501469382"/>
      <w:bookmarkStart w:id="278" w:name="_Toc501447643"/>
      <w:bookmarkStart w:id="279" w:name="_Toc501369300"/>
      <w:bookmarkStart w:id="280" w:name="_Toc501361199"/>
      <w:bookmarkStart w:id="281" w:name="_Toc501359979"/>
      <w:bookmarkStart w:id="282" w:name="_Toc513203937"/>
      <w:bookmarkStart w:id="283" w:name="_Toc514867354"/>
      <w:bookmarkStart w:id="284" w:name="_Toc517698060"/>
      <w:bookmarkStart w:id="285" w:name="_Toc511051795"/>
      <w:bookmarkStart w:id="286" w:name="_Toc501127961"/>
      <w:bookmarkStart w:id="287" w:name="_Toc507067638"/>
      <w:bookmarkStart w:id="288" w:name="_Toc505870231"/>
      <w:bookmarkStart w:id="289" w:name="_Toc505854334"/>
      <w:bookmarkStart w:id="290" w:name="_Toc505255062"/>
      <w:bookmarkStart w:id="291" w:name="_Toc505068713"/>
      <w:bookmarkStart w:id="292" w:name="_Toc504472779"/>
      <w:bookmarkStart w:id="293" w:name="_Toc504155865"/>
      <w:bookmarkStart w:id="294" w:name="_Toc503945415"/>
      <w:bookmarkStart w:id="295" w:name="_Toc503862755"/>
      <w:bookmarkStart w:id="296" w:name="_Toc503781194"/>
      <w:bookmarkStart w:id="297" w:name="_Toc503285911"/>
      <w:bookmarkStart w:id="298" w:name="_Toc503285676"/>
      <w:bookmarkStart w:id="299" w:name="_Toc503168902"/>
      <w:bookmarkStart w:id="300" w:name="_Toc501715478"/>
      <w:bookmarkStart w:id="301" w:name="_Toc501545394"/>
      <w:bookmarkStart w:id="302" w:name="_Toc501469381"/>
      <w:bookmarkStart w:id="303" w:name="_Toc501447642"/>
      <w:bookmarkStart w:id="304" w:name="_Toc501369299"/>
      <w:bookmarkStart w:id="305" w:name="_Toc501361198"/>
      <w:bookmarkStart w:id="306" w:name="_Toc501359978"/>
      <w:bookmarkStart w:id="307" w:name="_Toc505585731"/>
      <w:bookmarkEnd w:id="258"/>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t>Rechnungswesen und Geschäftsabwicklung</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Berschrift3"/>
        <w:numPr>
          <w:ilvl w:val="2"/>
          <w:numId w:val="4"/>
        </w:numPr>
        <w:rPr/>
      </w:pPr>
      <w:bookmarkStart w:id="308" w:name="__RefHeading___Toc12348_3966647769"/>
      <w:bookmarkStart w:id="309" w:name="_Toc511051797"/>
      <w:bookmarkStart w:id="310" w:name="_Toc501127963"/>
      <w:bookmarkStart w:id="311" w:name="_Toc507067640"/>
      <w:bookmarkStart w:id="312" w:name="_Toc505870233"/>
      <w:bookmarkStart w:id="313" w:name="_Toc505854336"/>
      <w:bookmarkStart w:id="314" w:name="_Toc505585733"/>
      <w:bookmarkStart w:id="315" w:name="_Toc505255064"/>
      <w:bookmarkStart w:id="316" w:name="_Toc505068715"/>
      <w:bookmarkStart w:id="317" w:name="_Toc504472781"/>
      <w:bookmarkStart w:id="318" w:name="_Toc504155867"/>
      <w:bookmarkStart w:id="319" w:name="_Toc503945417"/>
      <w:bookmarkStart w:id="320" w:name="_Toc503862757"/>
      <w:bookmarkStart w:id="321" w:name="_Toc503781196"/>
      <w:bookmarkStart w:id="322" w:name="_Toc503285913"/>
      <w:bookmarkStart w:id="323" w:name="_Toc503285678"/>
      <w:bookmarkStart w:id="324" w:name="_Toc503168904"/>
      <w:bookmarkStart w:id="325" w:name="_Toc501715480"/>
      <w:bookmarkStart w:id="326" w:name="_Toc501545396"/>
      <w:bookmarkStart w:id="327" w:name="_Toc501469383"/>
      <w:bookmarkStart w:id="328" w:name="_Toc501447644"/>
      <w:bookmarkStart w:id="329" w:name="_Toc501369301"/>
      <w:bookmarkStart w:id="330" w:name="_Toc501361200"/>
      <w:bookmarkStart w:id="331" w:name="_Toc501359980"/>
      <w:bookmarkEnd w:id="308"/>
      <w:r>
        <w:rPr/>
        <w:t>Verantwortliche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Normal"/>
        <w:rPr/>
      </w:pPr>
      <w:r>
        <w:rPr/>
        <w:tab/>
      </w:r>
      <w:r>
        <w:rPr>
          <w:highlight w:val="yellow"/>
        </w:rPr>
        <w:t>Titel / Vor-und Zuname</w:t>
        <w:br/>
        <w:tab/>
        <w:t>Straße</w:t>
        <w:br/>
        <w:tab/>
        <w:t>PLZ-Ort</w:t>
        <w:br/>
        <w:tab/>
        <w:t>Email: …………...@…………………….</w:t>
        <w:br/>
        <w:tab/>
        <w:t>Tel.:</w:t>
      </w:r>
    </w:p>
    <w:p>
      <w:pPr>
        <w:pStyle w:val="Berschrift3"/>
        <w:numPr>
          <w:ilvl w:val="2"/>
          <w:numId w:val="4"/>
        </w:numPr>
        <w:rPr>
          <w:lang w:eastAsia="de-AT"/>
        </w:rPr>
      </w:pPr>
      <w:bookmarkStart w:id="332" w:name="__RefHeading___Toc12350_3966647769"/>
      <w:bookmarkStart w:id="333" w:name="_Toc511051798"/>
      <w:bookmarkStart w:id="334" w:name="_Toc501127964"/>
      <w:bookmarkStart w:id="335" w:name="_Toc507067641"/>
      <w:bookmarkStart w:id="336" w:name="_Toc505870234"/>
      <w:bookmarkStart w:id="337" w:name="_Toc505854337"/>
      <w:bookmarkStart w:id="338" w:name="_Toc505585734"/>
      <w:bookmarkStart w:id="339" w:name="_Toc505255065"/>
      <w:bookmarkStart w:id="340" w:name="_Toc505068716"/>
      <w:bookmarkStart w:id="341" w:name="_Toc504472782"/>
      <w:bookmarkStart w:id="342" w:name="_Toc504155868"/>
      <w:bookmarkStart w:id="343" w:name="_Toc503945418"/>
      <w:bookmarkStart w:id="344" w:name="_Toc503862758"/>
      <w:bookmarkStart w:id="345" w:name="_Toc503781197"/>
      <w:bookmarkStart w:id="346" w:name="_Toc503285914"/>
      <w:bookmarkStart w:id="347" w:name="_Toc503285679"/>
      <w:bookmarkStart w:id="348" w:name="_Toc503168905"/>
      <w:bookmarkStart w:id="349" w:name="_Toc501715481"/>
      <w:bookmarkStart w:id="350" w:name="_Toc501545397"/>
      <w:bookmarkStart w:id="351" w:name="_Toc501469384"/>
      <w:bookmarkStart w:id="352" w:name="_Toc501447645"/>
      <w:bookmarkStart w:id="353" w:name="_Toc501369302"/>
      <w:bookmarkStart w:id="354" w:name="_Toc501361201"/>
      <w:bookmarkStart w:id="355" w:name="_Toc501359981"/>
      <w:bookmarkEnd w:id="332"/>
      <w:r>
        <w:rPr>
          <w:lang w:eastAsia="de-AT"/>
        </w:rPr>
        <w:t>Zweck</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Normal"/>
        <w:rPr>
          <w:lang w:eastAsia="de-AT"/>
        </w:rPr>
      </w:pPr>
      <w:r>
        <w:rPr>
          <w:lang w:eastAsia="de-AT"/>
        </w:rPr>
        <w:br/>
      </w:r>
      <w:r>
        <w:rPr/>
        <w:t>Verarbeitung</w:t>
      </w:r>
      <w:r>
        <w:rPr>
          <w:lang w:eastAsia="de-AT"/>
        </w:rPr>
        <w:t xml:space="preserve"> und Übermittlung von </w:t>
      </w:r>
      <w:r>
        <w:rPr>
          <w:b/>
          <w:bCs/>
          <w:lang w:eastAsia="de-AT"/>
        </w:rPr>
        <w:t xml:space="preserve">pB Daten </w:t>
      </w:r>
      <w:r>
        <w:rPr>
          <w:b/>
          <w:bCs/>
          <w:lang w:val="de-DE" w:eastAsia="de-AT"/>
        </w:rPr>
        <w:t>der Betroffenen</w:t>
      </w:r>
      <w:r>
        <w:rPr>
          <w:lang w:val="de-DE" w:eastAsia="de-AT"/>
        </w:rPr>
        <w:t xml:space="preserve">, </w:t>
      </w:r>
      <w:r>
        <w:rPr>
          <w:lang w:eastAsia="de-AT"/>
        </w:rPr>
        <w:t>im Rahmen von Geschäfts</w:t>
        <w:softHyphen/>
        <w:t>beziehungen mit Klienten/Kunden und Lieferanten, sowie an der Geschäftsabwicklung bzw. Beratung/Behandlung mitwirkende Dritte und Geschäftspartner sowie Honorar-Abrechnungs-Vereine; alle inkl. deren jeweiligen Kontaktpersonen einschließlich automationsunterstützt erstellter und archivierter Textdokumente (wie z.B. Rechnungen, Korrespondenzen oder Verträge) in diesen Angelegenheiten, aber ausdrücklich keine Diagnosen (nach ICD-10) und sensible Informationen iSd Art. 8 + 9 + 10 DSGVO</w:t>
      </w:r>
    </w:p>
    <w:p>
      <w:pPr>
        <w:pStyle w:val="Berschrift3"/>
        <w:numPr>
          <w:ilvl w:val="2"/>
          <w:numId w:val="4"/>
        </w:numPr>
        <w:rPr>
          <w:lang w:eastAsia="de-AT"/>
        </w:rPr>
      </w:pPr>
      <w:bookmarkStart w:id="356" w:name="__RefHeading___Toc12352_3966647769"/>
      <w:bookmarkStart w:id="357" w:name="_Toc511051799"/>
      <w:bookmarkStart w:id="358" w:name="_Toc501127965"/>
      <w:bookmarkStart w:id="359" w:name="_Toc507067642"/>
      <w:bookmarkStart w:id="360" w:name="_Toc505870235"/>
      <w:bookmarkStart w:id="361" w:name="_Toc505854338"/>
      <w:bookmarkStart w:id="362" w:name="_Toc505585735"/>
      <w:bookmarkStart w:id="363" w:name="_Toc505255066"/>
      <w:bookmarkStart w:id="364" w:name="_Toc505068717"/>
      <w:bookmarkStart w:id="365" w:name="_Toc504472783"/>
      <w:bookmarkStart w:id="366" w:name="_Toc504155869"/>
      <w:bookmarkStart w:id="367" w:name="_Toc503945419"/>
      <w:bookmarkStart w:id="368" w:name="_Toc503862759"/>
      <w:bookmarkStart w:id="369" w:name="_Toc503781198"/>
      <w:bookmarkStart w:id="370" w:name="_Toc503285915"/>
      <w:bookmarkStart w:id="371" w:name="_Toc503285680"/>
      <w:bookmarkStart w:id="372" w:name="_Toc503168906"/>
      <w:bookmarkStart w:id="373" w:name="_Toc501715482"/>
      <w:bookmarkStart w:id="374" w:name="_Toc501545398"/>
      <w:bookmarkStart w:id="375" w:name="_Toc501469385"/>
      <w:bookmarkStart w:id="376" w:name="_Toc501447646"/>
      <w:bookmarkStart w:id="377" w:name="_Toc501369303"/>
      <w:bookmarkStart w:id="378" w:name="_Toc501361202"/>
      <w:bookmarkStart w:id="379" w:name="_Toc501359982"/>
      <w:bookmarkEnd w:id="356"/>
      <w:r>
        <w:rPr>
          <w:lang w:eastAsia="de-AT"/>
        </w:rPr>
        <w:t>Kategorien der betroffenen Personen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ormal"/>
        <w:spacing w:before="0" w:after="0"/>
        <w:textAlignment w:val="auto"/>
        <w:rPr>
          <w:rFonts w:ascii="Arial" w:hAnsi="Arial" w:eastAsia="Times New Roman" w:cs="Arial"/>
          <w:sz w:val="18"/>
          <w:szCs w:val="18"/>
          <w:lang w:eastAsia="de-AT"/>
        </w:rPr>
      </w:pPr>
      <w:r>
        <w:rPr>
          <w:rFonts w:eastAsia="Times New Roman" w:cs="Arial" w:ascii="Arial" w:hAnsi="Arial"/>
          <w:sz w:val="18"/>
          <w:szCs w:val="18"/>
          <w:lang w:eastAsia="de-AT"/>
        </w:rPr>
      </w:r>
    </w:p>
    <w:tbl>
      <w:tblPr>
        <w:tblW w:w="8364"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237"/>
        <w:gridCol w:w="7126"/>
      </w:tblGrid>
      <w:tr>
        <w:trPr/>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Lfd.Nr.</w:t>
            </w:r>
          </w:p>
        </w:tc>
        <w:tc>
          <w:tcPr>
            <w:tcW w:w="7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Beschreibung der Kategorien betroffener Personen</w:t>
            </w:r>
          </w:p>
        </w:tc>
      </w:tr>
      <w:tr>
        <w:trPr/>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1</w:t>
            </w:r>
          </w:p>
        </w:tc>
        <w:tc>
          <w:tcPr>
            <w:tcW w:w="7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lang w:eastAsia="de-AT"/>
              </w:rPr>
            </w:pPr>
            <w:r>
              <w:rPr>
                <w:lang w:eastAsia="de-AT"/>
              </w:rPr>
              <w:t xml:space="preserve">KlientInnen/PatientInnen bzw. deren </w:t>
            </w:r>
            <w:r>
              <w:rPr/>
              <w:t>Rechtsvertretern</w:t>
            </w:r>
            <w:r>
              <w:rPr>
                <w:lang w:eastAsia="de-AT"/>
              </w:rPr>
              <w:t>, Lieferanten sowie Auszubildende</w:t>
            </w:r>
          </w:p>
        </w:tc>
      </w:tr>
      <w:tr>
        <w:trPr/>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2</w:t>
            </w:r>
          </w:p>
        </w:tc>
        <w:tc>
          <w:tcPr>
            <w:tcW w:w="7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lang w:eastAsia="de-AT"/>
              </w:rPr>
            </w:pPr>
            <w:r>
              <w:rPr/>
              <w:t>Beratung</w:t>
            </w:r>
            <w:r>
              <w:rPr>
                <w:lang w:eastAsia="de-AT"/>
              </w:rPr>
              <w:t>/Behandlung mitwirkende Dritte inkl. deren jeweiligen Kontaktpersonen</w:t>
            </w:r>
          </w:p>
        </w:tc>
      </w:tr>
    </w:tbl>
    <w:p>
      <w:pPr>
        <w:pStyle w:val="Berschrift3"/>
        <w:numPr>
          <w:ilvl w:val="2"/>
          <w:numId w:val="4"/>
        </w:numPr>
        <w:rPr/>
      </w:pPr>
      <w:bookmarkStart w:id="380" w:name="__RefHeading___Toc12354_3966647769"/>
      <w:bookmarkStart w:id="381" w:name="_Toc511051800"/>
      <w:bookmarkStart w:id="382" w:name="_Toc505854339"/>
      <w:bookmarkStart w:id="383" w:name="_Toc507067643"/>
      <w:bookmarkStart w:id="384" w:name="_Toc505870236"/>
      <w:bookmarkEnd w:id="380"/>
      <w:r>
        <w:rPr>
          <w:lang w:eastAsia="de-AT"/>
        </w:rPr>
        <w:t>Rechtsgrundlagen</w:t>
      </w:r>
      <w:bookmarkEnd w:id="381"/>
      <w:bookmarkEnd w:id="382"/>
      <w:bookmarkEnd w:id="383"/>
      <w:bookmarkEnd w:id="384"/>
      <w:r>
        <w:rPr>
          <w:lang w:eastAsia="de-AT"/>
        </w:rPr>
        <w:t xml:space="preserve"> (in geltender Fassung)</w:t>
      </w:r>
    </w:p>
    <w:p>
      <w:pPr>
        <w:pStyle w:val="Normal"/>
        <w:numPr>
          <w:ilvl w:val="0"/>
          <w:numId w:val="32"/>
        </w:numPr>
        <w:rPr/>
      </w:pPr>
      <w:r>
        <w:rPr>
          <w:rFonts w:asciiTheme="minorHAnsi" w:hAnsiTheme="minorHAnsi"/>
        </w:rPr>
        <w:t>Art 6 Z 1 lit b (zur Vertragserfüllung erforderlich), c (gesetzliche Verpflichtungen nach der BAO und dem UGB), f (berechtigte Interessen des Verantwortlichen) DSGVO</w:t>
      </w:r>
    </w:p>
    <w:p>
      <w:pPr>
        <w:pStyle w:val="Normal"/>
        <w:numPr>
          <w:ilvl w:val="0"/>
          <w:numId w:val="32"/>
        </w:numPr>
        <w:rPr>
          <w:rFonts w:ascii="Calibri" w:hAnsi="Calibri" w:asciiTheme="minorHAnsi" w:hAnsiTheme="minorHAnsi"/>
        </w:rPr>
      </w:pPr>
      <w:r>
        <w:rPr>
          <w:rFonts w:asciiTheme="minorHAnsi" w:hAnsiTheme="minorHAnsi"/>
        </w:rPr>
        <w:t>§ 132 BAO, §§ 190,2s12 UGB, sowie EStG und UStG</w:t>
      </w:r>
    </w:p>
    <w:p>
      <w:pPr>
        <w:pStyle w:val="Normal"/>
        <w:numPr>
          <w:ilvl w:val="0"/>
          <w:numId w:val="32"/>
        </w:numPr>
        <w:rPr/>
      </w:pPr>
      <w:r>
        <w:rPr>
          <w:rFonts w:asciiTheme="minorHAnsi" w:hAnsiTheme="minorHAnsi"/>
          <w:color w:val="000000"/>
        </w:rPr>
        <w:t>Psychotherapiegesetz  BGBl.Nr. 361/1990 ST0151</w:t>
      </w:r>
    </w:p>
    <w:p>
      <w:pPr>
        <w:pStyle w:val="Normal"/>
        <w:numPr>
          <w:ilvl w:val="0"/>
          <w:numId w:val="32"/>
        </w:numPr>
        <w:rPr>
          <w:rFonts w:ascii="Calibri" w:hAnsi="Calibri" w:asciiTheme="minorHAnsi" w:hAnsiTheme="minorHAnsi"/>
        </w:rPr>
      </w:pPr>
      <w:r>
        <w:rPr>
          <w:rFonts w:asciiTheme="minorHAnsi" w:hAnsiTheme="minorHAnsi"/>
          <w:color w:val="000000"/>
        </w:rPr>
        <w:t>(Berufskodex für Psychotherapeutinnen und Psychotherapeuten )</w:t>
      </w:r>
    </w:p>
    <w:p>
      <w:pPr>
        <w:pStyle w:val="Normal"/>
        <w:numPr>
          <w:ilvl w:val="0"/>
          <w:numId w:val="32"/>
        </w:numPr>
        <w:rPr>
          <w:rFonts w:ascii="Calibri" w:hAnsi="Calibri" w:asciiTheme="minorHAnsi" w:hAnsiTheme="minorHAnsi"/>
        </w:rPr>
      </w:pPr>
      <w:r>
        <w:rPr>
          <w:rFonts w:asciiTheme="minorHAnsi" w:hAnsiTheme="minorHAnsi"/>
          <w:color w:val="000000"/>
        </w:rPr>
        <w:t>Gesamtvertrag abgeschlossen zwischen der beruflichen Interessenvertretung des Auftraggebers und dem Hauptverband der österreichischen Sozialversicherungsträger gemäß § 349 Abs. 2 und Abs. 3 ASVG</w:t>
      </w:r>
    </w:p>
    <w:p>
      <w:pPr>
        <w:pStyle w:val="Berschrift3"/>
        <w:numPr>
          <w:ilvl w:val="2"/>
          <w:numId w:val="4"/>
        </w:numPr>
        <w:rPr/>
      </w:pPr>
      <w:bookmarkStart w:id="385" w:name="__RefHeading___Toc12356_3966647769"/>
      <w:bookmarkStart w:id="386" w:name="_Toc501127967"/>
      <w:bookmarkStart w:id="387" w:name="_Toc501359984"/>
      <w:bookmarkStart w:id="388" w:name="_Toc501361204"/>
      <w:bookmarkStart w:id="389" w:name="_Toc501369305"/>
      <w:bookmarkStart w:id="390" w:name="_Toc501447648"/>
      <w:bookmarkStart w:id="391" w:name="_Toc501469387"/>
      <w:bookmarkStart w:id="392" w:name="_Toc501545400"/>
      <w:bookmarkStart w:id="393" w:name="_Toc501715484"/>
      <w:bookmarkStart w:id="394" w:name="_Toc503168908"/>
      <w:bookmarkStart w:id="395" w:name="_Toc503285682"/>
      <w:bookmarkStart w:id="396" w:name="_Toc503285917"/>
      <w:bookmarkStart w:id="397" w:name="_Toc503781200"/>
      <w:bookmarkStart w:id="398" w:name="_Toc503862761"/>
      <w:bookmarkStart w:id="399" w:name="_Toc503945421"/>
      <w:bookmarkStart w:id="400" w:name="_Toc504155871"/>
      <w:bookmarkStart w:id="401" w:name="_Toc504472785"/>
      <w:bookmarkStart w:id="402" w:name="_Toc505068719"/>
      <w:bookmarkStart w:id="403" w:name="_Toc505255068"/>
      <w:bookmarkStart w:id="404" w:name="_Toc505585737"/>
      <w:bookmarkStart w:id="405" w:name="_Toc505854340"/>
      <w:bookmarkStart w:id="406" w:name="_Toc505870237"/>
      <w:bookmarkStart w:id="407" w:name="_Toc511051801"/>
      <w:bookmarkStart w:id="408" w:name="_Toc507067644"/>
      <w:bookmarkEnd w:id="385"/>
      <w:r>
        <w:rPr>
          <w:lang w:eastAsia="de-AT"/>
        </w:rPr>
        <w:t>Verträge, Zustimmungserklärungen oder sonstige Unterlagen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ormal"/>
        <w:spacing w:before="0" w:after="0"/>
        <w:jc w:val="both"/>
        <w:textAlignment w:val="auto"/>
        <w:rPr/>
      </w:pPr>
      <w:r>
        <w:rPr/>
        <w:t>Unterlagen zu aufrechten Geschäfts-/Behandlungsabwicklungen, Rechnungen, erledigte Geschäftsfälle/Behandlungen, Unterlagen</w:t>
      </w:r>
      <w:r>
        <w:rPr>
          <w:rFonts w:cs="Calibri"/>
        </w:rPr>
        <w:t xml:space="preserve"> </w:t>
      </w:r>
      <w:r>
        <w:rPr/>
        <w:t>und Zustimmungserklärungen sowie Verträge mit Auftragsverarbeitern sind im Archiv abgelegt.</w:t>
      </w:r>
    </w:p>
    <w:p>
      <w:pPr>
        <w:pStyle w:val="Berschrift3"/>
        <w:numPr>
          <w:ilvl w:val="2"/>
          <w:numId w:val="4"/>
        </w:numPr>
        <w:rPr>
          <w:lang w:eastAsia="de-AT"/>
        </w:rPr>
      </w:pPr>
      <w:bookmarkStart w:id="409" w:name="__RefHeading___Toc12358_3966647769"/>
      <w:bookmarkStart w:id="410" w:name="_Toc511051802"/>
      <w:bookmarkStart w:id="411" w:name="_Toc501127968"/>
      <w:bookmarkStart w:id="412" w:name="_Toc507067645"/>
      <w:bookmarkStart w:id="413" w:name="_Toc505870238"/>
      <w:bookmarkStart w:id="414" w:name="_Toc505854341"/>
      <w:bookmarkStart w:id="415" w:name="_Toc505585738"/>
      <w:bookmarkStart w:id="416" w:name="_Toc505255069"/>
      <w:bookmarkStart w:id="417" w:name="_Toc505068720"/>
      <w:bookmarkStart w:id="418" w:name="_Toc504472786"/>
      <w:bookmarkStart w:id="419" w:name="_Toc504155872"/>
      <w:bookmarkStart w:id="420" w:name="_Toc503945422"/>
      <w:bookmarkStart w:id="421" w:name="_Toc503862762"/>
      <w:bookmarkStart w:id="422" w:name="_Toc503781201"/>
      <w:bookmarkStart w:id="423" w:name="_Toc503285918"/>
      <w:bookmarkStart w:id="424" w:name="_Toc503285683"/>
      <w:bookmarkStart w:id="425" w:name="_Toc503168909"/>
      <w:bookmarkStart w:id="426" w:name="_Toc501715485"/>
      <w:bookmarkStart w:id="427" w:name="_Toc501545401"/>
      <w:bookmarkStart w:id="428" w:name="_Toc501469388"/>
      <w:bookmarkStart w:id="429" w:name="_Toc501447649"/>
      <w:bookmarkStart w:id="430" w:name="_Toc501369306"/>
      <w:bookmarkStart w:id="431" w:name="_Toc501361205"/>
      <w:bookmarkStart w:id="432" w:name="_Toc501359985"/>
      <w:bookmarkEnd w:id="409"/>
      <w:r>
        <w:rPr>
          <w:lang w:eastAsia="de-AT"/>
        </w:rPr>
        <w:t>Kategorien der verarbeiteten Daten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ormal"/>
        <w:rPr>
          <w:lang w:eastAsia="de-AT"/>
        </w:rPr>
      </w:pPr>
      <w:r>
        <w:rPr>
          <w:lang w:eastAsia="de-AT"/>
        </w:rPr>
      </w:r>
    </w:p>
    <w:tbl>
      <w:tblPr>
        <w:tblpPr w:bottomFromText="0" w:horzAnchor="margin" w:leftFromText="141" w:rightFromText="141" w:tblpX="0" w:tblpXSpec="center" w:tblpY="-1495" w:topFromText="0" w:vertAnchor="text"/>
        <w:tblW w:w="1021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0" w:noVBand="0" w:lastRow="0" w:firstColumn="0" w:lastColumn="0" w:noHBand="0" w:val="0000"/>
      </w:tblPr>
      <w:tblGrid>
        <w:gridCol w:w="2064"/>
        <w:gridCol w:w="691"/>
        <w:gridCol w:w="4965"/>
        <w:gridCol w:w="1230"/>
        <w:gridCol w:w="1269"/>
      </w:tblGrid>
      <w:tr>
        <w:trPr>
          <w:trHeight w:val="1704" w:hRule="exact"/>
        </w:trPr>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jc w:val="center"/>
              <w:rPr>
                <w:rFonts w:cs="Calibri"/>
                <w:b/>
                <w:b/>
                <w:sz w:val="16"/>
                <w:szCs w:val="16"/>
              </w:rPr>
            </w:pPr>
            <w:bookmarkStart w:id="433" w:name="_Toc501545402"/>
            <w:bookmarkStart w:id="434" w:name="_Toc501715486"/>
            <w:bookmarkEnd w:id="433"/>
            <w:bookmarkEnd w:id="434"/>
            <w:r>
              <w:rPr>
                <w:rFonts w:cs="Calibri"/>
                <w:b/>
                <w:sz w:val="16"/>
                <w:szCs w:val="16"/>
              </w:rPr>
              <w:t xml:space="preserve">Kategorien der betroffenen </w:t>
              <w:br/>
              <w:t>Personengruppe</w:t>
            </w:r>
          </w:p>
          <w:p>
            <w:pPr>
              <w:pStyle w:val="Normal"/>
              <w:spacing w:before="0" w:after="160"/>
              <w:jc w:val="center"/>
              <w:rPr>
                <w:rFonts w:cs="Calibri"/>
                <w:b/>
                <w:b/>
                <w:sz w:val="16"/>
                <w:szCs w:val="16"/>
              </w:rPr>
            </w:pPr>
            <w:r>
              <w:rPr>
                <w:rFonts w:cs="Calibri"/>
                <w:b/>
                <w:sz w:val="16"/>
                <w:szCs w:val="16"/>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160"/>
              <w:jc w:val="center"/>
              <w:rPr/>
            </w:pPr>
            <w:r>
              <w:rPr>
                <w:rFonts w:cs="Calibri"/>
                <w:b/>
                <w:sz w:val="16"/>
                <w:szCs w:val="16"/>
              </w:rPr>
              <w:t>Lfd.</w:t>
              <w:br/>
              <w:t>Nr.</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160"/>
              <w:jc w:val="center"/>
              <w:rPr>
                <w:rFonts w:cs="Calibri"/>
                <w:b/>
                <w:b/>
                <w:sz w:val="16"/>
                <w:szCs w:val="16"/>
              </w:rPr>
            </w:pPr>
            <w:r>
              <w:rPr>
                <w:rFonts w:cs="Calibri"/>
                <w:b/>
                <w:sz w:val="16"/>
                <w:szCs w:val="16"/>
              </w:rPr>
              <w:t>Datenkategorien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160"/>
              <w:jc w:val="center"/>
              <w:rPr/>
            </w:pPr>
            <w:r>
              <w:rPr>
                <w:rFonts w:cs="Calibri"/>
                <w:b/>
                <w:sz w:val="16"/>
                <w:szCs w:val="18"/>
              </w:rPr>
              <w:t xml:space="preserve">Besondere </w:t>
              <w:br/>
              <w:t xml:space="preserve">Daten  iSd </w:t>
              <w:br/>
              <w:t>Art 9    10 DSGVO</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extDirection w:val="btLr"/>
            <w:vAlign w:val="center"/>
          </w:tcPr>
          <w:p>
            <w:pPr>
              <w:pStyle w:val="Normal"/>
              <w:spacing w:before="0" w:after="160"/>
              <w:ind w:left="113" w:right="113" w:hanging="0"/>
              <w:jc w:val="center"/>
              <w:rPr>
                <w:rFonts w:cs="Calibri"/>
                <w:b/>
                <w:b/>
                <w:sz w:val="16"/>
                <w:szCs w:val="18"/>
              </w:rPr>
            </w:pPr>
            <w:r>
              <w:rPr>
                <w:rFonts w:cs="Calibri"/>
                <w:sz w:val="16"/>
                <w:szCs w:val="18"/>
              </w:rPr>
              <w:t>Empfängerkategorie</w:t>
            </w:r>
          </w:p>
        </w:tc>
      </w:tr>
      <w:tr>
        <w:trPr>
          <w:trHeight w:val="217" w:hRule="atLeast"/>
        </w:trPr>
        <w:tc>
          <w:tcPr>
            <w:tcW w:w="20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cs="Calibri"/>
                <w:sz w:val="18"/>
                <w:szCs w:val="18"/>
              </w:rPr>
            </w:pPr>
            <w:r>
              <w:rPr>
                <w:rFonts w:cs="Calibri"/>
                <w:sz w:val="18"/>
                <w:szCs w:val="18"/>
              </w:rPr>
            </w:r>
          </w:p>
          <w:p>
            <w:pPr>
              <w:pStyle w:val="Normal"/>
              <w:jc w:val="center"/>
              <w:rPr>
                <w:rFonts w:cs="Calibri"/>
                <w:sz w:val="18"/>
                <w:szCs w:val="18"/>
              </w:rPr>
            </w:pPr>
            <w:r>
              <w:rPr>
                <w:rFonts w:cs="Calibri"/>
                <w:sz w:val="18"/>
                <w:szCs w:val="18"/>
              </w:rPr>
            </w:r>
          </w:p>
          <w:p>
            <w:pPr>
              <w:pStyle w:val="Normal"/>
              <w:jc w:val="center"/>
              <w:rPr/>
            </w:pPr>
            <w:r>
              <w:rPr>
                <w:rFonts w:cs="Calibri"/>
                <w:sz w:val="18"/>
                <w:szCs w:val="18"/>
              </w:rPr>
              <w:t xml:space="preserve">1. </w:t>
            </w:r>
            <w:r>
              <w:rPr>
                <w:rFonts w:cs="Calibri"/>
                <w:color w:val="000000"/>
                <w:sz w:val="18"/>
                <w:szCs w:val="18"/>
                <w:lang w:eastAsia="de-AT"/>
              </w:rPr>
              <w:t>KlientInnen/PatientInnen bzw. deren Rechtsvertretern, Lieferanten sowie Auszubildende</w:t>
            </w:r>
          </w:p>
          <w:p>
            <w:pPr>
              <w:pStyle w:val="Normal"/>
              <w:spacing w:before="0" w:after="160"/>
              <w:rPr>
                <w:rFonts w:cs="Calibri"/>
                <w:sz w:val="18"/>
                <w:szCs w:val="18"/>
              </w:rPr>
            </w:pPr>
            <w:r>
              <w:rPr>
                <w:rFonts w:cs="Calibri"/>
                <w:sz w:val="18"/>
                <w:szCs w:val="18"/>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1</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Ordnungs/Klientennummer</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color w:val="000000"/>
                <w:sz w:val="20"/>
              </w:rPr>
              <w:t>2-5,6,8</w:t>
            </w:r>
          </w:p>
        </w:tc>
      </w:tr>
      <w:tr>
        <w:trPr>
          <w:trHeight w:val="382"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2</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Name, Firma oder sonstige Geschäftsbezeichnung</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1-8</w:t>
            </w:r>
          </w:p>
        </w:tc>
      </w:tr>
      <w:tr>
        <w:trPr>
          <w:trHeight w:val="278"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4</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Anschrift bzw. Lieferadresse</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1-8</w:t>
            </w:r>
          </w:p>
        </w:tc>
      </w:tr>
      <w:tr>
        <w:trPr>
          <w:trHeight w:val="404"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5</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Kontaktdaten (Tel., Handy, Email, Fax, signal.org)</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1-8</w:t>
            </w:r>
          </w:p>
        </w:tc>
      </w:tr>
      <w:tr>
        <w:trPr>
          <w:trHeight w:val="350"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sz w:val="18"/>
                <w:szCs w:val="18"/>
              </w:rPr>
            </w:pPr>
            <w:r>
              <w:rPr>
                <w:sz w:val="18"/>
                <w:szCs w:val="18"/>
              </w:rPr>
              <w:t>6</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sz w:val="18"/>
                <w:szCs w:val="18"/>
              </w:rPr>
            </w:pPr>
            <w:r>
              <w:rPr>
                <w:sz w:val="18"/>
                <w:szCs w:val="18"/>
              </w:rPr>
              <w:t>Termine</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i/>
                <w:i/>
                <w:iCs/>
                <w:sz w:val="18"/>
                <w:szCs w:val="18"/>
              </w:rPr>
            </w:pPr>
            <w:r>
              <w:rPr>
                <w:i/>
                <w:iCs/>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color w:val="000000"/>
                <w:sz w:val="20"/>
              </w:rPr>
              <w:t>2,4-5, 7, 8</w:t>
            </w:r>
          </w:p>
        </w:tc>
      </w:tr>
      <w:tr>
        <w:trPr>
          <w:trHeight w:val="266"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7</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IP Adresse (Homepage)</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iCs/>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color w:val="000000"/>
                <w:sz w:val="20"/>
              </w:rPr>
            </w:pPr>
            <w:r>
              <w:rPr>
                <w:rFonts w:cs="Calibri"/>
                <w:color w:val="000000"/>
                <w:sz w:val="20"/>
              </w:rPr>
              <w:t>2,4</w:t>
            </w:r>
          </w:p>
        </w:tc>
      </w:tr>
      <w:tr>
        <w:trPr>
          <w:trHeight w:val="234"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9</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Firmenbuchdaten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368" w:hRule="exac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10</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Bankverbindungen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1-8</w:t>
            </w:r>
          </w:p>
        </w:tc>
      </w:tr>
      <w:tr>
        <w:trPr>
          <w:trHeight w:val="350"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11</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Kreditkartennummern und  unternehmen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1-4</w:t>
            </w:r>
          </w:p>
        </w:tc>
      </w:tr>
      <w:tr>
        <w:trPr>
          <w:trHeight w:val="328"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12</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Kenn-Nummern für Zwecke amtlicher Statistik wie UID-,  Intrastat-Kenn-, SteuerNummer</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468"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13</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Namen Kontaktpersonen/Erziehungsberechtigten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414"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14</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Kontaktdaten der  Kontaktpersonen/Erziehungsberechtigten  (Tel., Mail, Fax, Anschrift odgl.)</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461" w:hRule="exac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15</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Funktion/Rolle der Kontaktperson bzw. Erziehungsberechtigten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 4-7</w:t>
            </w:r>
          </w:p>
        </w:tc>
      </w:tr>
      <w:tr>
        <w:trPr>
          <w:trHeight w:val="336"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16</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rFonts w:cs="Calibri"/>
                <w:sz w:val="18"/>
                <w:szCs w:val="18"/>
              </w:rPr>
              <w:t>Art und Frequenz der Beratung/Behandlung</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2-5, 8</w:t>
            </w:r>
          </w:p>
        </w:tc>
      </w:tr>
      <w:tr>
        <w:trPr>
          <w:trHeight w:val="238"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17</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rFonts w:cs="Calibri"/>
                <w:sz w:val="18"/>
                <w:szCs w:val="18"/>
              </w:rPr>
              <w:t>Vertragstext und Geschäftskorrespondenzen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2-5, 7, 8</w:t>
            </w:r>
          </w:p>
        </w:tc>
      </w:tr>
      <w:tr>
        <w:trPr>
          <w:trHeight w:val="281"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18</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rFonts w:cs="Calibri"/>
                <w:sz w:val="18"/>
                <w:szCs w:val="18"/>
              </w:rPr>
              <w:t>Sacn/Kopie zur Identitätsfeststellung</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color w:val="000000"/>
                <w:sz w:val="20"/>
              </w:rPr>
              <w:t>2-5</w:t>
            </w:r>
          </w:p>
        </w:tc>
      </w:tr>
      <w:tr>
        <w:trPr>
          <w:trHeight w:val="358"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19</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rFonts w:cs="Calibri"/>
                <w:sz w:val="18"/>
                <w:szCs w:val="18"/>
              </w:rPr>
              <w:t>Auftragssperre</w:t>
              <w:br/>
              <w:t>= Recht auf Einschränkung geltend gemacht</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color w:val="000000"/>
                <w:sz w:val="20"/>
              </w:rPr>
              <w:t>2-5</w:t>
            </w:r>
          </w:p>
        </w:tc>
      </w:tr>
      <w:tr>
        <w:trPr>
          <w:trHeight w:val="269"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20</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rFonts w:cs="Calibri"/>
                <w:sz w:val="18"/>
                <w:szCs w:val="18"/>
              </w:rPr>
              <w:t>Schlüssel für verschlüsselte Datenübertragung</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Geheim</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color w:val="000000"/>
                <w:sz w:val="20"/>
              </w:rPr>
              <w:t>Alle</w:t>
            </w:r>
          </w:p>
        </w:tc>
      </w:tr>
      <w:tr>
        <w:trPr>
          <w:trHeight w:val="448" w:hRule="atLeast"/>
        </w:trPr>
        <w:tc>
          <w:tcPr>
            <w:tcW w:w="20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 xml:space="preserve">2. An der Abwicklung mitwirkende Dritte inkl. </w:t>
              <w:br/>
              <w:t>Kontaktpersonen bei den Dritten</w:t>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21</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Name, Firma oder sonstige Geschäftsbezeichnung</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1-8</w:t>
            </w:r>
          </w:p>
        </w:tc>
      </w:tr>
      <w:tr>
        <w:trPr>
          <w:trHeight w:val="322"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22</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Anschrift, Lieferadresse</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270"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23</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Homepage, Xing, ...</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sz w:val="20"/>
              </w:rPr>
              <w:t>3-5</w:t>
            </w:r>
          </w:p>
        </w:tc>
      </w:tr>
      <w:tr>
        <w:trPr>
          <w:trHeight w:val="416"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24</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Kontaktdaten (Tel., Skyp, signal.org, Mail, Fax,)</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146"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25</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Firmenbuchdaten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147"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26</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Bankverbindungen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566" w:hRule="exac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27</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Kreditkartennummern und  unternehmen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1-4</w:t>
            </w:r>
          </w:p>
        </w:tc>
      </w:tr>
      <w:tr>
        <w:trPr>
          <w:trHeight w:val="278"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28</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 xml:space="preserve">Kenn-Nummern für Zwecke amtlicher Statistik wie UID-, </w:t>
              <w:br/>
              <w:t>Intrastat-Kennzahl,…., Steuer-Nummer</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270"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29</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Namen Kontaktpersonen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1-8</w:t>
            </w:r>
          </w:p>
        </w:tc>
      </w:tr>
      <w:tr>
        <w:trPr>
          <w:trHeight w:val="516"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30</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Zuordnung zu einer bestimmten Kategorie (einschließlich regionale Zuordnung, usw.)</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color w:val="000000"/>
                <w:sz w:val="20"/>
              </w:rPr>
            </w:pPr>
            <w:r>
              <w:rPr>
                <w:rFonts w:cs="Calibri"/>
                <w:color w:val="000000"/>
                <w:sz w:val="20"/>
              </w:rPr>
            </w:r>
          </w:p>
        </w:tc>
      </w:tr>
      <w:tr>
        <w:trPr>
          <w:trHeight w:val="328" w:hRule="exac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31</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Art der Kooperation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3-8</w:t>
            </w:r>
          </w:p>
        </w:tc>
      </w:tr>
      <w:tr>
        <w:trPr>
          <w:trHeight w:val="356"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32</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Vertragstext und Geschäftskorrespondenzen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2-5, 7, 8</w:t>
            </w:r>
          </w:p>
        </w:tc>
      </w:tr>
      <w:tr>
        <w:trPr>
          <w:trHeight w:val="162"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33</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Auftragssperre</w:t>
              <w:br/>
              <w:t>= Recht auf Einschränkung geltend gemacht</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sz w:val="20"/>
              </w:rPr>
            </w:pPr>
            <w:r>
              <w:rPr>
                <w:color w:val="000000"/>
                <w:sz w:val="20"/>
              </w:rPr>
            </w:r>
          </w:p>
        </w:tc>
      </w:tr>
    </w:tbl>
    <w:p>
      <w:pPr>
        <w:pStyle w:val="Normal"/>
        <w:rPr>
          <w:sz w:val="18"/>
        </w:rPr>
      </w:pPr>
      <w:r>
        <w:rPr>
          <w:sz w:val="18"/>
        </w:rPr>
      </w:r>
    </w:p>
    <w:p>
      <w:pPr>
        <w:pStyle w:val="Berschrift3"/>
        <w:numPr>
          <w:ilvl w:val="2"/>
          <w:numId w:val="4"/>
        </w:numPr>
        <w:rPr/>
      </w:pPr>
      <w:bookmarkStart w:id="435" w:name="__RefHeading___Toc12360_3966647769"/>
      <w:bookmarkStart w:id="436" w:name="_Toc511051803"/>
      <w:bookmarkStart w:id="437" w:name="_Toc507067646"/>
      <w:bookmarkStart w:id="438" w:name="_Toc505870239"/>
      <w:bookmarkStart w:id="439" w:name="_Toc505854342"/>
      <w:bookmarkEnd w:id="435"/>
      <w:r>
        <w:rPr>
          <w:lang w:eastAsia="de-AT"/>
        </w:rPr>
        <w:t>Löschungs- und Aufbewahrungsfristen</w:t>
      </w:r>
      <w:bookmarkEnd w:id="436"/>
      <w:bookmarkEnd w:id="437"/>
      <w:bookmarkEnd w:id="438"/>
      <w:bookmarkEnd w:id="439"/>
      <w:r>
        <w:rPr>
          <w:lang w:eastAsia="de-AT"/>
        </w:rPr>
        <w:br/>
      </w:r>
    </w:p>
    <w:tbl>
      <w:tblPr>
        <w:tblW w:w="8647"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236"/>
        <w:gridCol w:w="6410"/>
      </w:tblGrid>
      <w:tr>
        <w:trPr/>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Daten (Lfd. Nr.)</w:t>
            </w:r>
          </w:p>
        </w:tc>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Angabe bzw. Beschreibung der Löschungs- bzw. Aufbewahrungsfristen</w:t>
            </w:r>
          </w:p>
        </w:tc>
      </w:tr>
      <w:tr>
        <w:trPr/>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sz w:val="24"/>
              </w:rPr>
              <w:t>1 – 19; 21-33</w:t>
            </w:r>
          </w:p>
        </w:tc>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textAlignment w:val="auto"/>
              <w:rPr/>
            </w:pPr>
            <w:r>
              <w:rPr>
                <w:rFonts w:eastAsia="Times New Roman" w:cs="Calibri"/>
                <w:lang w:eastAsia="de-AT"/>
              </w:rPr>
              <w:t xml:space="preserve">Aufgrund der gesetzlichen Aufbewahrungsfristen wie zB </w:t>
            </w:r>
            <w:r>
              <w:rPr>
                <w:bCs/>
              </w:rPr>
              <w:t>§ 132 Abs 1 BAO, §§ 190, 212 UGB, § 18 UStG Abs 2 Z3</w:t>
            </w:r>
            <w:r>
              <w:rPr>
                <w:rFonts w:eastAsia="Times New Roman" w:cs="Calibri"/>
                <w:lang w:eastAsia="de-AT"/>
              </w:rPr>
              <w:t xml:space="preserve"> auf jeden Fall 7 Jahre, darüber hinausgehend bis zur Beendigung eines allfälligen Rechtsstreits, fortlaufender Gewährleistungs- oder Garantiefristen</w:t>
            </w:r>
          </w:p>
        </w:tc>
      </w:tr>
      <w:tr>
        <w:trPr/>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18</w:t>
            </w:r>
          </w:p>
        </w:tc>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t>Identitätskopie wird sogleich nach Zweckerfüllung gelöscht</w:t>
            </w:r>
          </w:p>
        </w:tc>
      </w:tr>
      <w:tr>
        <w:trPr/>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19, 33</w:t>
            </w:r>
          </w:p>
        </w:tc>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textAlignment w:val="auto"/>
              <w:rPr/>
            </w:pPr>
            <w:r>
              <w:rPr/>
              <w:t>Bei Antrag auf Löschung werden nur die notwendigsten Buchhaltungsdaten beibehalten und für 7 Jahre eingeschränkt, d.h. sie können nicht mehr verarbeitet werden (= Auftragssperre in vielen Programmen)</w:t>
            </w:r>
          </w:p>
        </w:tc>
      </w:tr>
      <w:tr>
        <w:trPr/>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sz w:val="24"/>
              </w:rPr>
              <w:t>7</w:t>
            </w:r>
          </w:p>
        </w:tc>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rFonts w:cs="Calibri"/>
              </w:rPr>
              <w:t xml:space="preserve">IP-Adresse zu eigenen Sicherheitszwecken: </w:t>
              <w:br/>
              <w:t xml:space="preserve">Speicherfrist von maximal 7 Tagen </w:t>
              <w:br/>
              <w:t>(siehe auch Datenschutzerklärung Homepage)</w:t>
            </w:r>
          </w:p>
        </w:tc>
      </w:tr>
    </w:tbl>
    <w:p>
      <w:pPr>
        <w:pStyle w:val="Berschrift3"/>
        <w:numPr>
          <w:ilvl w:val="2"/>
          <w:numId w:val="4"/>
        </w:numPr>
        <w:rPr/>
      </w:pPr>
      <w:bookmarkStart w:id="440" w:name="__RefHeading___Toc12362_3966647769"/>
      <w:bookmarkStart w:id="441" w:name="_Toc511051804"/>
      <w:bookmarkStart w:id="442" w:name="_Toc507067647"/>
      <w:bookmarkStart w:id="443" w:name="_Toc505870240"/>
      <w:bookmarkEnd w:id="440"/>
      <w:r>
        <w:rPr>
          <w:lang w:eastAsia="de-AT"/>
        </w:rPr>
        <w:t>Kategorien der Empfänger</w:t>
      </w:r>
      <w:bookmarkEnd w:id="441"/>
      <w:bookmarkEnd w:id="442"/>
      <w:bookmarkEnd w:id="443"/>
    </w:p>
    <w:p>
      <w:pPr>
        <w:pStyle w:val="Normal"/>
        <w:rPr/>
      </w:pPr>
      <w:r>
        <w:rPr>
          <w:lang w:eastAsia="de-AT"/>
        </w:rPr>
        <w:t>Es erfolgt keine Übermittlung an Drittstaaten und internationale Organisationen. Übermittlungsort ist Wien bzw. Österreich</w:t>
      </w:r>
    </w:p>
    <w:p>
      <w:pPr>
        <w:pStyle w:val="Normal"/>
        <w:rPr>
          <w:lang w:eastAsia="de-AT"/>
        </w:rPr>
      </w:pPr>
      <w:r>
        <w:rPr>
          <w:lang w:eastAsia="de-AT"/>
        </w:rPr>
      </w:r>
    </w:p>
    <w:p>
      <w:pPr>
        <w:pStyle w:val="Normal"/>
        <w:rPr>
          <w:lang w:eastAsia="de-AT"/>
        </w:rPr>
      </w:pPr>
      <w:r>
        <w:rPr>
          <w:lang w:eastAsia="de-AT"/>
        </w:rPr>
      </w:r>
    </w:p>
    <w:p>
      <w:pPr>
        <w:pStyle w:val="Normal"/>
        <w:rPr>
          <w:lang w:eastAsia="de-AT"/>
        </w:rPr>
      </w:pPr>
      <w:r>
        <w:rPr>
          <w:lang w:eastAsia="de-AT"/>
        </w:rPr>
      </w:r>
    </w:p>
    <w:p>
      <w:pPr>
        <w:pStyle w:val="Normal"/>
        <w:rPr>
          <w:lang w:eastAsia="de-AT"/>
        </w:rPr>
      </w:pPr>
      <w:r>
        <w:rPr>
          <w:lang w:eastAsia="de-AT"/>
        </w:rPr>
      </w:r>
    </w:p>
    <w:p>
      <w:pPr>
        <w:pStyle w:val="Normal"/>
        <w:rPr>
          <w:lang w:eastAsia="de-AT"/>
        </w:rPr>
      </w:pPr>
      <w:r>
        <w:rPr>
          <w:lang w:eastAsia="de-AT"/>
        </w:rPr>
      </w:r>
    </w:p>
    <w:tbl>
      <w:tblPr>
        <w:tblW w:w="8647"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74"/>
        <w:gridCol w:w="3963"/>
        <w:gridCol w:w="2129"/>
        <w:gridCol w:w="1980"/>
      </w:tblGrid>
      <w:tr>
        <w:trPr/>
        <w:tc>
          <w:tcPr>
            <w:tcW w:w="574" w:type="dxa"/>
            <w:tcBorders>
              <w:top w:val="single" w:sz="4" w:space="0" w:color="000001"/>
              <w:left w:val="single" w:sz="4" w:space="0" w:color="000001"/>
              <w:bottom w:val="single" w:sz="4" w:space="0" w:color="000001"/>
              <w:insideH w:val="single" w:sz="4" w:space="0" w:color="000001"/>
            </w:tcBorders>
            <w:shd w:color="auto" w:fill="FFC000" w:val="clear"/>
            <w:vAlign w:val="center"/>
          </w:tcPr>
          <w:p>
            <w:pPr>
              <w:pStyle w:val="Normal"/>
              <w:spacing w:before="0" w:after="0"/>
              <w:jc w:val="center"/>
              <w:rPr/>
            </w:pPr>
            <w:r>
              <w:rPr/>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pPr>
            <w:r>
              <w:rPr>
                <w:b/>
              </w:rPr>
              <w:t xml:space="preserve">Empfängerkategorien </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Drittstaat (Angabe des Drittstaats, d.h. Staaten außerhalb der EU)</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Internationale Organisation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1</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Banken</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2</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Rechtsvertreter im Anlassfall</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3</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Steuerberater, Bilanzbuchhalter</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4</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Gerichte im Anlassfall</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5</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Verwaltungsbehörden im Anlassfall</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6</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An der Abwicklung beteiligte Dritte</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7</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color w:val="000000"/>
              </w:rPr>
              <w:t>Vertrags- und Geschäftspartner</w:t>
              <w:br/>
              <w:t>(inklusiv. Honorarabr.--Vereine)</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8</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Privat-Versicherung</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bookmarkStart w:id="444" w:name="__DdeLink__254458_1065443354"/>
            <w:r>
              <w:rPr/>
              <w:t>Nein</w:t>
            </w:r>
            <w:bookmarkEnd w:id="444"/>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9</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highlight w:val="yellow"/>
              </w:rPr>
              <w:t xml:space="preserve">Homepage-Hoster /Software-Dienstleister </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highlight w:val="yellow"/>
              </w:rPr>
            </w:pPr>
            <w:r>
              <w:rPr>
                <w:highlight w:val="yellow"/>
              </w:rPr>
              <w:t>?</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10</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highlight w:val="yellow"/>
              </w:rPr>
            </w:pPr>
            <w:r>
              <w:rPr>
                <w:highlight w:val="yellow"/>
              </w:rPr>
              <w:t>Alle weiteren (IT)-Dienstleister</w:t>
              <w:br/>
              <w:t>(auch mit Fernwartung)</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highlight w:val="yellow"/>
              </w:rPr>
            </w:pPr>
            <w:r>
              <w:rPr>
                <w:highlight w:val="yellow"/>
              </w:rPr>
              <w:t>?</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highlight w:val="yellow"/>
              </w:rPr>
              <w:t xml:space="preserve">Datendienst verschlüsselt und sicher </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highlight w:val="yellow"/>
              </w:rPr>
            </w:pPr>
            <w:r>
              <w:rPr>
                <w:highlight w:val="yellow"/>
              </w:rPr>
              <w:t>?</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bl>
    <w:p>
      <w:pPr>
        <w:pStyle w:val="Normal"/>
        <w:numPr>
          <w:ilvl w:val="0"/>
          <w:numId w:val="0"/>
        </w:numPr>
        <w:outlineLvl w:val="0"/>
        <w:rPr/>
      </w:pPr>
      <w:bookmarkStart w:id="445" w:name="__RefHeading___Toc31847_1491107819"/>
      <w:bookmarkEnd w:id="445"/>
      <w:r>
        <w:rPr>
          <w:rFonts w:eastAsia="Times New Roman" w:ascii="Cambria" w:hAnsi="Cambria"/>
          <w:b/>
          <w:bCs/>
          <w:color w:val="548DD4"/>
          <w:lang w:eastAsia="de-AT"/>
        </w:rPr>
        <w:t xml:space="preserve"> </w:t>
      </w:r>
    </w:p>
    <w:p>
      <w:pPr>
        <w:pStyle w:val="Berschrift3"/>
        <w:numPr>
          <w:ilvl w:val="2"/>
          <w:numId w:val="4"/>
        </w:numPr>
        <w:rPr/>
      </w:pPr>
      <w:r>
        <w:rPr>
          <w:lang w:eastAsia="de-AT"/>
        </w:rPr>
        <w:t>TOMs</w:t>
      </w:r>
    </w:p>
    <w:p>
      <w:pPr>
        <w:pStyle w:val="Normal"/>
        <w:rPr/>
      </w:pPr>
      <w:r>
        <w:rPr/>
        <w:t xml:space="preserve">siehe dort. Nur an jene Empfängern, mit denen eine gesicherte und verschlüsselte Übertragung möglich ist, wird eine elektronische Übertragung sensibler Daten vorgenommen. Alle anderen erhalten die pB Daten der Klienten ausschließlich </w:t>
      </w:r>
      <w:r>
        <w:rPr>
          <w:highlight w:val="yellow"/>
        </w:rPr>
        <w:t xml:space="preserve">per </w:t>
      </w:r>
      <w:r>
        <w:rPr>
          <w:color w:val="000000"/>
          <w:highlight w:val="yellow"/>
        </w:rPr>
        <w:t>eingeschriebener Post oder durch Ident.Brief</w:t>
      </w:r>
      <w:r>
        <w:rPr>
          <w:color w:val="FF0000"/>
          <w:highlight w:val="yellow"/>
        </w:rPr>
        <w:t xml:space="preserve"> </w:t>
      </w:r>
      <w:r>
        <w:rPr>
          <w:color w:val="000000"/>
          <w:highlight w:val="yellow"/>
        </w:rPr>
        <w:t>auf Kosten des Empfängers</w:t>
      </w:r>
      <w:r>
        <w:rPr>
          <w:color w:val="000000"/>
        </w:rPr>
        <w:t>.</w:t>
      </w:r>
    </w:p>
    <w:p>
      <w:pPr>
        <w:pStyle w:val="Normal"/>
        <w:rPr/>
      </w:pPr>
      <w:r>
        <w:rPr/>
        <w:t xml:space="preserve">Abrechnungen als Buchhaltungsunterlagen enthalten keine Diagnosen oder ähnliches </w:t>
      </w:r>
      <w:r>
        <w:rPr>
          <w:highlight w:val="yellow"/>
        </w:rPr>
        <w:t xml:space="preserve">bzw. </w:t>
      </w:r>
      <w:r>
        <w:rPr>
          <w:color w:val="000000"/>
          <w:highlight w:val="yellow"/>
        </w:rPr>
        <w:t>sind von mir geschwärzt</w:t>
      </w:r>
      <w:r>
        <w:rPr>
          <w:color w:val="000000"/>
        </w:rPr>
        <w:t>. Sollte das Finanzamt die Originalrechnungen der Sozialversicherungen etc. verlangen, so habe ich diese mit Diagnose archiviert (siehe Klientenverwaltung und Honorarabrechnung)</w:t>
      </w:r>
    </w:p>
    <w:p>
      <w:pPr>
        <w:pStyle w:val="Berschrift2"/>
        <w:numPr>
          <w:ilvl w:val="1"/>
          <w:numId w:val="4"/>
        </w:numPr>
        <w:rPr/>
      </w:pPr>
      <w:bookmarkStart w:id="446" w:name="__RefHeading___Toc31849_1491107819"/>
      <w:bookmarkStart w:id="447" w:name="_Toc513203938"/>
      <w:bookmarkStart w:id="448" w:name="_Toc514867355"/>
      <w:bookmarkStart w:id="449" w:name="_Toc517698061"/>
      <w:bookmarkEnd w:id="446"/>
      <w:r>
        <w:rPr/>
        <w:t>Klientenverwaltung</w:t>
      </w:r>
      <w:r>
        <w:rPr>
          <w:lang w:eastAsia="de-AT"/>
        </w:rPr>
        <w:t xml:space="preserve"> und Dokumentation</w:t>
      </w:r>
      <w:bookmarkEnd w:id="447"/>
      <w:bookmarkEnd w:id="448"/>
      <w:bookmarkEnd w:id="449"/>
    </w:p>
    <w:p>
      <w:pPr>
        <w:pStyle w:val="Berschrift3"/>
        <w:numPr>
          <w:ilvl w:val="2"/>
          <w:numId w:val="4"/>
        </w:numPr>
        <w:rPr/>
      </w:pPr>
      <w:bookmarkStart w:id="450" w:name="__RefHeading___Toc12368_3966647769"/>
      <w:bookmarkStart w:id="451" w:name="_Toc511051806"/>
      <w:bookmarkStart w:id="452" w:name="_Toc501127972"/>
      <w:bookmarkStart w:id="453" w:name="_Toc507067650"/>
      <w:bookmarkStart w:id="454" w:name="_Toc505870243"/>
      <w:bookmarkStart w:id="455" w:name="_Toc505854346"/>
      <w:bookmarkStart w:id="456" w:name="_Toc505585743"/>
      <w:bookmarkStart w:id="457" w:name="_Toc505255074"/>
      <w:bookmarkStart w:id="458" w:name="_Toc505068725"/>
      <w:bookmarkStart w:id="459" w:name="_Toc504472791"/>
      <w:bookmarkStart w:id="460" w:name="_Toc504155877"/>
      <w:bookmarkStart w:id="461" w:name="_Toc503945427"/>
      <w:bookmarkStart w:id="462" w:name="_Toc503862767"/>
      <w:bookmarkStart w:id="463" w:name="_Toc503781205"/>
      <w:bookmarkStart w:id="464" w:name="_Toc503285922"/>
      <w:bookmarkStart w:id="465" w:name="_Toc503285687"/>
      <w:bookmarkStart w:id="466" w:name="_Toc503168913"/>
      <w:bookmarkStart w:id="467" w:name="_Toc501715490"/>
      <w:bookmarkStart w:id="468" w:name="_Toc501545406"/>
      <w:bookmarkStart w:id="469" w:name="_Toc501469392"/>
      <w:bookmarkStart w:id="470" w:name="_Toc501447653"/>
      <w:bookmarkStart w:id="471" w:name="_Toc501369310"/>
      <w:bookmarkStart w:id="472" w:name="_Toc501361209"/>
      <w:bookmarkStart w:id="473" w:name="_Toc501359989"/>
      <w:bookmarkEnd w:id="450"/>
      <w:r>
        <w:rPr/>
        <w:t>Verantwortliche</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Normal"/>
        <w:rPr/>
      </w:pPr>
      <w:r>
        <w:rPr>
          <w:highlight w:val="yellow"/>
        </w:rPr>
        <w:t>Titel / Vor-und Zuname</w:t>
        <w:br/>
        <w:tab/>
        <w:t>Straße</w:t>
        <w:br/>
        <w:tab/>
        <w:t>PLZ-Ort</w:t>
        <w:br/>
        <w:tab/>
        <w:t>Email: …………...@…………………….</w:t>
        <w:br/>
        <w:tab/>
        <w:t>Tel.:</w:t>
      </w:r>
    </w:p>
    <w:p>
      <w:pPr>
        <w:pStyle w:val="Berschrift3"/>
        <w:numPr>
          <w:ilvl w:val="2"/>
          <w:numId w:val="4"/>
        </w:numPr>
        <w:rPr>
          <w:lang w:eastAsia="de-AT"/>
        </w:rPr>
      </w:pPr>
      <w:bookmarkStart w:id="474" w:name="__RefHeading___Toc23996_2257849036"/>
      <w:bookmarkEnd w:id="474"/>
      <w:r>
        <w:rPr>
          <w:lang w:eastAsia="de-AT"/>
        </w:rPr>
        <w:t>Zweck der Datenverarbeitung</w:t>
      </w:r>
    </w:p>
    <w:p>
      <w:pPr>
        <w:pStyle w:val="Normal"/>
        <w:numPr>
          <w:ilvl w:val="0"/>
          <w:numId w:val="12"/>
        </w:numPr>
        <w:rPr/>
      </w:pPr>
      <w:r>
        <w:rPr>
          <w:rFonts w:eastAsia="Times New Roman" w:cs="Calibri"/>
          <w:color w:val="000000"/>
          <w:szCs w:val="18"/>
          <w:lang w:eastAsia="de-AT"/>
        </w:rPr>
        <w:t xml:space="preserve">Verarbeitung und Übermittlung von </w:t>
      </w:r>
      <w:r>
        <w:rPr>
          <w:rFonts w:eastAsia="Times New Roman" w:cs="Calibri"/>
          <w:b/>
          <w:bCs/>
          <w:color w:val="000000"/>
          <w:szCs w:val="18"/>
          <w:lang w:val="de-DE" w:eastAsia="de-AT"/>
        </w:rPr>
        <w:t>sensiblen Informationen der Betroffenen</w:t>
      </w:r>
      <w:r>
        <w:rPr>
          <w:rFonts w:eastAsia="Times New Roman" w:cs="Calibri"/>
          <w:color w:val="000000"/>
          <w:szCs w:val="18"/>
          <w:lang w:val="de-DE" w:eastAsia="de-AT"/>
        </w:rPr>
        <w:t>, insbesondere</w:t>
      </w:r>
      <w:r>
        <w:rPr>
          <w:rFonts w:eastAsia="Times New Roman" w:cs="Calibri"/>
          <w:color w:val="000000"/>
          <w:lang w:val="de-DE" w:eastAsia="de-AT"/>
        </w:rPr>
        <w:t xml:space="preserve"> Datenkategorien iSd Art 9, möglicherweise Art 10 DSGVO und Art 8 somit </w:t>
      </w:r>
      <w:r>
        <w:rPr>
          <w:rFonts w:eastAsia="Times New Roman" w:cs="Calibri"/>
          <w:color w:val="000000"/>
          <w:szCs w:val="18"/>
          <w:lang w:val="de-DE" w:eastAsia="de-AT"/>
        </w:rPr>
        <w:t>auch von Kindern,</w:t>
      </w:r>
      <w:r>
        <w:rPr>
          <w:rFonts w:eastAsia="Times New Roman" w:cs="Calibri"/>
          <w:color w:val="000000"/>
          <w:szCs w:val="18"/>
          <w:lang w:eastAsia="de-AT"/>
        </w:rPr>
        <w:t xml:space="preserve">sowie </w:t>
      </w:r>
      <w:r>
        <w:rPr/>
        <w:t xml:space="preserve">Führung und Pflege von PatientInnen/KlientInnenkarteien gemäß Psychotherapiegesetz </w:t>
      </w:r>
      <w:r>
        <w:rPr>
          <w:color w:val="000000"/>
        </w:rPr>
        <w:t xml:space="preserve"> </w:t>
      </w:r>
      <w:r>
        <w:rPr/>
        <w:t>1990</w:t>
      </w:r>
    </w:p>
    <w:p>
      <w:pPr>
        <w:pStyle w:val="Normal"/>
        <w:numPr>
          <w:ilvl w:val="0"/>
          <w:numId w:val="12"/>
        </w:numPr>
        <w:spacing w:before="0" w:after="283"/>
        <w:rPr/>
      </w:pPr>
      <w:r>
        <w:rPr>
          <w:rFonts w:eastAsia="Times New Roman"/>
          <w:color w:val="000000"/>
          <w:lang w:val="de-DE" w:eastAsia="de-AT"/>
        </w:rPr>
        <w:t xml:space="preserve">Erstellung </w:t>
      </w:r>
      <w:r>
        <w:rPr>
          <w:rFonts w:eastAsia="Times New Roman" w:cs="Calibri"/>
          <w:color w:val="000000"/>
          <w:szCs w:val="18"/>
          <w:lang w:val="de-DE" w:eastAsia="de-AT"/>
        </w:rPr>
        <w:t xml:space="preserve">und Übermittlung </w:t>
      </w:r>
      <w:r>
        <w:rPr>
          <w:rFonts w:eastAsia="Times New Roman"/>
          <w:color w:val="000000"/>
          <w:lang w:val="de-DE" w:eastAsia="de-AT"/>
        </w:rPr>
        <w:t>von medizinischen Gutachten/Befunde durch Therapeuten, einschließlich automationsunterstützt erstellter und archivierter Textdokumente (wie z.B. Korrespondenz) in diesen Angelegenheiten</w:t>
      </w:r>
    </w:p>
    <w:p>
      <w:pPr>
        <w:pStyle w:val="Normal"/>
        <w:numPr>
          <w:ilvl w:val="0"/>
          <w:numId w:val="12"/>
        </w:numPr>
        <w:spacing w:before="0" w:after="283"/>
        <w:rPr/>
      </w:pPr>
      <w:r>
        <w:rPr>
          <w:rFonts w:eastAsia="Times New Roman"/>
          <w:color w:val="000000"/>
          <w:lang w:val="de-DE" w:eastAsia="de-AT"/>
        </w:rPr>
        <w:t>Honorarverrechnung psychotherapeutischer Behandlungen durch Pe</w:t>
      </w:r>
      <w:r>
        <w:rPr/>
        <w:t>rsonen, die gemäß § 11 des Psychotherapiegesetz , BGBl. Nr. 361/1990 zur selbständigen Ausübung der Psychotherapie berechtigt sind, (§ 135 Abs. 1 Z 3 ASVG) mit den Sozialversicherungsträgern einschließlich automationsunterstützt erstellter und archivierter Textdokumente (wie z.B. Korrespondenz) in dieser Angelegenheit.</w:t>
      </w:r>
    </w:p>
    <w:p>
      <w:pPr>
        <w:pStyle w:val="Normal"/>
        <w:numPr>
          <w:ilvl w:val="0"/>
          <w:numId w:val="12"/>
        </w:numPr>
        <w:spacing w:before="0" w:after="283"/>
        <w:rPr/>
      </w:pPr>
      <w:r>
        <w:rPr>
          <w:rFonts w:eastAsia="Times New Roman" w:cs="Calibri"/>
          <w:color w:val="000000"/>
          <w:lang w:val="de-DE" w:eastAsia="de-AT"/>
        </w:rPr>
        <w:t xml:space="preserve">Archivierung </w:t>
      </w:r>
      <w:r>
        <w:rPr>
          <w:rFonts w:eastAsia="Times New Roman" w:cs="Calibri"/>
          <w:color w:val="000000"/>
          <w:highlight w:val="yellow"/>
          <w:lang w:val="de-DE" w:eastAsia="de-AT"/>
        </w:rPr>
        <w:t>x J</w:t>
      </w:r>
      <w:r>
        <w:rPr>
          <w:highlight w:val="yellow"/>
        </w:rPr>
        <w:t>ahr/ 6 Monate/ 3 Monate / gleich</w:t>
      </w:r>
      <w:r>
        <w:rPr/>
        <w:t xml:space="preserve"> </w:t>
      </w:r>
      <w:r>
        <w:rPr>
          <w:rFonts w:eastAsia="Times New Roman" w:cs="Calibri"/>
          <w:color w:val="000000"/>
          <w:lang w:val="de-DE" w:eastAsia="de-AT"/>
        </w:rPr>
        <w:t>nach Beendigung der Beratung/Behandlung</w:t>
      </w:r>
      <w:r>
        <w:rPr>
          <w:rFonts w:eastAsia="Times New Roman" w:cs="Calibri"/>
          <w:color w:val="000000"/>
          <w:szCs w:val="18"/>
          <w:lang w:val="de-DE" w:eastAsia="de-AT"/>
        </w:rPr>
        <w:t xml:space="preserve"> gemäß § 15 Verschwiegenheit und § 16b Dokumentationspflicht Psychotherapiegesetz </w:t>
      </w:r>
    </w:p>
    <w:p>
      <w:pPr>
        <w:pStyle w:val="Berschrift3"/>
        <w:numPr>
          <w:ilvl w:val="2"/>
          <w:numId w:val="4"/>
        </w:numPr>
        <w:rPr>
          <w:lang w:eastAsia="de-AT"/>
        </w:rPr>
      </w:pPr>
      <w:bookmarkStart w:id="475" w:name="__RefHeading___Toc23998_2257849036"/>
      <w:bookmarkEnd w:id="475"/>
      <w:r>
        <w:rPr>
          <w:lang w:eastAsia="de-AT"/>
        </w:rPr>
        <w:t>Rechtsgrundlage (in der geltenden Fassung)</w:t>
      </w:r>
    </w:p>
    <w:p>
      <w:pPr>
        <w:pStyle w:val="Normal"/>
        <w:numPr>
          <w:ilvl w:val="0"/>
          <w:numId w:val="13"/>
        </w:numPr>
        <w:spacing w:before="0" w:after="283"/>
        <w:rPr/>
      </w:pPr>
      <w:r>
        <w:rPr>
          <w:rFonts w:cs="Calibri"/>
          <w:color w:val="000000"/>
          <w:szCs w:val="18"/>
        </w:rPr>
        <w:t xml:space="preserve">Art 6 Z 1 lit a (Einwilligung der Betroffenen betreffs Weiterleitung), </w:t>
      </w:r>
    </w:p>
    <w:p>
      <w:pPr>
        <w:pStyle w:val="Normal"/>
        <w:numPr>
          <w:ilvl w:val="0"/>
          <w:numId w:val="13"/>
        </w:numPr>
        <w:spacing w:before="0" w:after="283"/>
        <w:rPr/>
      </w:pPr>
      <w:r>
        <w:rPr>
          <w:rFonts w:cs="Calibri"/>
          <w:color w:val="000000"/>
          <w:szCs w:val="18"/>
        </w:rPr>
        <w:t xml:space="preserve">Ansonsten Art 6 Z 1 lit b (zur Vertragserfüllung erforderlich) DSGVO sowie Art 6 Z 1 c gesetzliche Verpflichtungen DSGVO in Verbindung mit § 15 Verschwiegenheit  und § 16b Dokumentationspflicht Psychotherapiegesetz . </w:t>
      </w:r>
      <w:r>
        <w:rPr>
          <w:rFonts w:cs="Calibri"/>
          <w:color w:val="000000"/>
        </w:rPr>
        <w:t>Bei sensiblen Daten kann  kein berechtigtes Interesse geltend gemacht werden.</w:t>
      </w:r>
    </w:p>
    <w:p>
      <w:pPr>
        <w:pStyle w:val="Normal"/>
        <w:numPr>
          <w:ilvl w:val="0"/>
          <w:numId w:val="13"/>
        </w:numPr>
        <w:spacing w:before="0" w:after="283"/>
        <w:rPr>
          <w:rFonts w:cs="Calibri"/>
          <w:color w:val="000000"/>
        </w:rPr>
      </w:pPr>
      <w:r>
        <w:rPr>
          <w:rFonts w:cs="Calibri"/>
          <w:color w:val="000000"/>
        </w:rPr>
        <w:t>§ 349a Allgemeines Sozialversicherungsgesetz (ASVG), BGBl. Nr. 189/1955, (60. Novelle ASVG), § 193 Gewerbliches Sozialversicherungsgesetz (GSVG), BGBl. Nr. 560/1978, § 181 Bauern-Sozialversicherungsgesetz (BSVG), BGBl. Nr. 559/1978, § 3 des Bundesgesetzes über die Sozialversicherung freiberuflich selbständig Erwerbstätiger (FSVG), BGBl. Nr. 624/1978, § 128 Beamten- Kranken- und Unfallversicherungsgesetz (B-KUVG), BGBl. 200/1967,</w:t>
      </w:r>
    </w:p>
    <w:p>
      <w:pPr>
        <w:pStyle w:val="Normal"/>
        <w:numPr>
          <w:ilvl w:val="0"/>
          <w:numId w:val="13"/>
        </w:numPr>
        <w:jc w:val="both"/>
        <w:rPr/>
      </w:pPr>
      <w:r>
        <w:rPr>
          <w:rFonts w:cs="Calibri"/>
          <w:color w:val="000000"/>
        </w:rPr>
        <w:t>Gesamtvertrag abgeschlossen zwischen der beruflichen Interessenvertretung des Auftraggebers und dem Hauptverband der österreichischen Sozialversicherungsträger gemäß § 349 Abs. 2 und Abs. 3 ASVG</w:t>
      </w:r>
    </w:p>
    <w:p>
      <w:pPr>
        <w:pStyle w:val="Normal"/>
        <w:numPr>
          <w:ilvl w:val="0"/>
          <w:numId w:val="13"/>
        </w:numPr>
        <w:spacing w:before="0" w:after="283"/>
        <w:rPr>
          <w:rFonts w:cs="Calibri"/>
          <w:color w:val="000000"/>
          <w:lang w:val="de-DE"/>
        </w:rPr>
      </w:pPr>
      <w:r>
        <w:rPr>
          <w:rFonts w:cs="Calibri"/>
          <w:color w:val="000000"/>
          <w:lang w:val="de-DE"/>
        </w:rPr>
        <w:t>Für den Träger der Krankenversicherung vom Hauptverband abgeschlossene Einzelverträge mit freiberuflichen Psychotherapeuten gemäß § 349 Abs. 2 ASVG.</w:t>
      </w:r>
    </w:p>
    <w:p>
      <w:pPr>
        <w:pStyle w:val="Normal"/>
        <w:numPr>
          <w:ilvl w:val="0"/>
          <w:numId w:val="13"/>
        </w:numPr>
        <w:rPr/>
      </w:pPr>
      <w:r>
        <w:rPr>
          <w:rFonts w:cs="Calibri"/>
          <w:color w:val="000000"/>
        </w:rPr>
        <w:t>Psychotherapiegesetz  BGBl.Nr. 361/1990 ST0151</w:t>
      </w:r>
    </w:p>
    <w:p>
      <w:pPr>
        <w:pStyle w:val="Normal"/>
        <w:numPr>
          <w:ilvl w:val="0"/>
          <w:numId w:val="13"/>
        </w:numPr>
        <w:rPr/>
      </w:pPr>
      <w:r>
        <w:rPr>
          <w:rFonts w:cs="Calibri"/>
          <w:color w:val="000000"/>
          <w:lang w:eastAsia="de-AT"/>
        </w:rPr>
        <w:t>(Berufskodex für Psychotherapeutinnen und Psychotherapeuten)</w:t>
        <w:br/>
      </w:r>
    </w:p>
    <w:p>
      <w:pPr>
        <w:pStyle w:val="Normal"/>
        <w:spacing w:before="0" w:after="283"/>
        <w:rPr/>
      </w:pPr>
      <w:bookmarkStart w:id="476" w:name="__RefHeading___Toc24000_2257849036"/>
      <w:bookmarkEnd w:id="476"/>
      <w:r>
        <w:rPr>
          <w:b/>
        </w:rPr>
        <w:t>Sonstige Hinweise:</w:t>
      </w:r>
      <w:r>
        <w:rPr/>
        <w:br/>
        <w:t>Die Datensicherheitsmaßnahmen gemäß DSG 2018 bzw. DSGVO sind zu beachten. Insbesondere hat die Übermittlung der Datensätze an den Empfänger in sicherer, verschlüsselter Form zu erfolgen</w:t>
      </w:r>
      <w:r>
        <w:rPr>
          <w:lang w:eastAsia="de-AT"/>
        </w:rPr>
        <w:t>.</w:t>
      </w:r>
    </w:p>
    <w:p>
      <w:pPr>
        <w:pStyle w:val="Berschrift3"/>
        <w:numPr>
          <w:ilvl w:val="0"/>
          <w:numId w:val="0"/>
        </w:numPr>
        <w:spacing w:before="0" w:after="283"/>
        <w:rPr>
          <w:rFonts w:ascii="Calibri" w:hAnsi="Calibri"/>
          <w:szCs w:val="24"/>
          <w:lang w:eastAsia="de-AT"/>
        </w:rPr>
      </w:pPr>
      <w:r>
        <w:rPr>
          <w:rFonts w:ascii="Calibri" w:hAnsi="Calibri"/>
          <w:szCs w:val="24"/>
          <w:lang w:eastAsia="de-AT"/>
        </w:rPr>
      </w:r>
      <w:r>
        <w:br w:type="page"/>
      </w:r>
    </w:p>
    <w:p>
      <w:pPr>
        <w:pStyle w:val="Berschrift3"/>
        <w:numPr>
          <w:ilvl w:val="2"/>
          <w:numId w:val="4"/>
        </w:numPr>
        <w:spacing w:before="0" w:after="283"/>
        <w:rPr/>
      </w:pPr>
      <w:bookmarkStart w:id="477" w:name="__RefHeading___Toc11261_3103339371"/>
      <w:bookmarkStart w:id="478" w:name="_Toc511051807"/>
      <w:bookmarkStart w:id="479" w:name="_Toc5013599851"/>
      <w:bookmarkStart w:id="480" w:name="_Toc5013612051"/>
      <w:bookmarkStart w:id="481" w:name="_Toc5013693061"/>
      <w:bookmarkStart w:id="482" w:name="_Toc5014476491"/>
      <w:bookmarkStart w:id="483" w:name="_Toc5014693881"/>
      <w:bookmarkStart w:id="484" w:name="_Toc5015454011"/>
      <w:bookmarkStart w:id="485" w:name="_Toc5017154851"/>
      <w:bookmarkStart w:id="486" w:name="_Toc5031689091"/>
      <w:bookmarkStart w:id="487" w:name="_Toc5032856831"/>
      <w:bookmarkStart w:id="488" w:name="_Toc5032859181"/>
      <w:bookmarkStart w:id="489" w:name="_Toc5037812011"/>
      <w:bookmarkStart w:id="490" w:name="_Toc5038627621"/>
      <w:bookmarkStart w:id="491" w:name="_Toc5039454221"/>
      <w:bookmarkStart w:id="492" w:name="_Toc5041558721"/>
      <w:bookmarkStart w:id="493" w:name="_Toc5044727861"/>
      <w:bookmarkStart w:id="494" w:name="_Toc5050687201"/>
      <w:bookmarkStart w:id="495" w:name="_Toc5052550691"/>
      <w:bookmarkStart w:id="496" w:name="_Toc5055857381"/>
      <w:bookmarkStart w:id="497" w:name="_Toc5058543411"/>
      <w:bookmarkStart w:id="498" w:name="_Toc5058702381"/>
      <w:bookmarkStart w:id="499" w:name="_Toc5070676451"/>
      <w:bookmarkStart w:id="500" w:name="_Toc5011279681"/>
      <w:bookmarkEnd w:id="477"/>
      <w:r>
        <w:rPr>
          <w:rFonts w:ascii="Calibri" w:hAnsi="Calibri"/>
          <w:szCs w:val="24"/>
          <w:lang w:eastAsia="de-AT"/>
        </w:rPr>
        <w:t>Kategorien der verarbeiteten Daten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Normal"/>
        <w:spacing w:before="0" w:after="283"/>
        <w:rPr/>
      </w:pPr>
      <w:r>
        <w:rPr>
          <w:sz w:val="24"/>
          <w:szCs w:val="24"/>
          <w:lang w:eastAsia="de-AT"/>
        </w:rPr>
        <w:t>(siehe auch Psychotherapiegesetz)</w:t>
      </w:r>
    </w:p>
    <w:tbl>
      <w:tblPr>
        <w:tblW w:w="10380" w:type="dxa"/>
        <w:jc w:val="left"/>
        <w:tblInd w:w="-949" w:type="dxa"/>
        <w:tblBorders>
          <w:top w:val="single" w:sz="4" w:space="0" w:color="000001"/>
          <w:left w:val="single" w:sz="4" w:space="0" w:color="000001"/>
          <w:bottom w:val="double" w:sz="2" w:space="0" w:color="000001"/>
          <w:right w:val="single" w:sz="4" w:space="0" w:color="000001"/>
          <w:insideH w:val="double" w:sz="2" w:space="0" w:color="000001"/>
          <w:insideV w:val="single" w:sz="4" w:space="0" w:color="000001"/>
        </w:tblBorders>
        <w:tblCellMar>
          <w:top w:w="28" w:type="dxa"/>
          <w:left w:w="65" w:type="dxa"/>
          <w:bottom w:w="28" w:type="dxa"/>
          <w:right w:w="70" w:type="dxa"/>
        </w:tblCellMar>
        <w:tblLook w:firstRow="0" w:noVBand="0" w:lastRow="0" w:firstColumn="0" w:lastColumn="0" w:noHBand="0" w:val="0000"/>
      </w:tblPr>
      <w:tblGrid>
        <w:gridCol w:w="2255"/>
        <w:gridCol w:w="566"/>
        <w:gridCol w:w="2831"/>
        <w:gridCol w:w="1133"/>
        <w:gridCol w:w="1015"/>
        <w:gridCol w:w="1367"/>
        <w:gridCol w:w="1212"/>
      </w:tblGrid>
      <w:tr>
        <w:trPr/>
        <w:tc>
          <w:tcPr>
            <w:tcW w:w="2255"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vAlign w:val="center"/>
          </w:tcPr>
          <w:p>
            <w:pPr>
              <w:pStyle w:val="Normal"/>
              <w:widowControl/>
              <w:bidi w:val="0"/>
              <w:spacing w:before="0" w:after="160"/>
              <w:jc w:val="left"/>
              <w:textAlignment w:val="baseline"/>
              <w:rPr/>
            </w:pPr>
            <w:r>
              <w:rPr/>
              <w:t>Betroffene Personengruppen:</w:t>
            </w:r>
          </w:p>
        </w:tc>
        <w:tc>
          <w:tcPr>
            <w:tcW w:w="566"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vAlign w:val="center"/>
          </w:tcPr>
          <w:p>
            <w:pPr>
              <w:pStyle w:val="Normal"/>
              <w:widowControl/>
              <w:bidi w:val="0"/>
              <w:spacing w:before="0" w:after="160"/>
              <w:jc w:val="left"/>
              <w:textAlignment w:val="baseline"/>
              <w:rPr/>
            </w:pPr>
            <w:r>
              <w:rPr/>
              <w:t>Nr.:</w:t>
            </w:r>
          </w:p>
        </w:tc>
        <w:tc>
          <w:tcPr>
            <w:tcW w:w="2831"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vAlign w:val="center"/>
          </w:tcPr>
          <w:p>
            <w:pPr>
              <w:pStyle w:val="Normal"/>
              <w:spacing w:before="0" w:after="160"/>
              <w:jc w:val="center"/>
              <w:rPr/>
            </w:pPr>
            <w:r>
              <w:rPr/>
              <w:t>Datenkategorien</w:t>
            </w:r>
          </w:p>
        </w:tc>
        <w:tc>
          <w:tcPr>
            <w:tcW w:w="1133"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vAlign w:val="center"/>
          </w:tcPr>
          <w:p>
            <w:pPr>
              <w:pStyle w:val="Normal"/>
              <w:spacing w:before="0" w:after="160"/>
              <w:jc w:val="center"/>
              <w:rPr/>
            </w:pPr>
            <w:r>
              <w:rPr>
                <w:rFonts w:cs="Calibri"/>
                <w:b/>
                <w:sz w:val="18"/>
                <w:szCs w:val="18"/>
              </w:rPr>
              <w:t xml:space="preserve">Daten iSd </w:t>
              <w:br/>
              <w:t>Art 9 + 10 DSGVO</w:t>
            </w:r>
          </w:p>
        </w:tc>
        <w:tc>
          <w:tcPr>
            <w:tcW w:w="1015"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tcMar>
              <w:left w:w="-5" w:type="dxa"/>
              <w:right w:w="68" w:type="dxa"/>
            </w:tcMar>
            <w:vAlign w:val="center"/>
          </w:tcPr>
          <w:p>
            <w:pPr>
              <w:pStyle w:val="Normal"/>
              <w:spacing w:before="0" w:after="160"/>
              <w:jc w:val="center"/>
              <w:rPr>
                <w:rFonts w:cs="Calibri"/>
                <w:b/>
                <w:b/>
                <w:color w:val="FF0000"/>
                <w:sz w:val="18"/>
                <w:szCs w:val="18"/>
              </w:rPr>
            </w:pPr>
            <w:r>
              <w:rPr>
                <w:rFonts w:cs="Calibri"/>
                <w:b/>
                <w:color w:val="000000"/>
                <w:sz w:val="18"/>
                <w:szCs w:val="18"/>
              </w:rPr>
              <w:t>Daten f.</w:t>
              <w:br/>
              <w:t>Archivierung</w:t>
            </w:r>
          </w:p>
        </w:tc>
        <w:tc>
          <w:tcPr>
            <w:tcW w:w="1367"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tcMar>
              <w:left w:w="-5" w:type="dxa"/>
              <w:right w:w="68" w:type="dxa"/>
            </w:tcMar>
            <w:vAlign w:val="center"/>
          </w:tcPr>
          <w:p>
            <w:pPr>
              <w:pStyle w:val="Normal"/>
              <w:spacing w:before="0" w:after="160"/>
              <w:jc w:val="center"/>
              <w:rPr>
                <w:rFonts w:cs="Calibri"/>
                <w:b/>
                <w:b/>
                <w:color w:val="FF0000"/>
                <w:sz w:val="18"/>
                <w:szCs w:val="18"/>
              </w:rPr>
            </w:pPr>
            <w:r>
              <w:rPr>
                <w:rFonts w:cs="Calibri"/>
                <w:b/>
                <w:color w:val="000000"/>
                <w:sz w:val="18"/>
                <w:szCs w:val="18"/>
              </w:rPr>
              <w:t>Wissenschaft</w:t>
              <w:br/>
              <w:t>anonymisiert</w:t>
            </w:r>
          </w:p>
        </w:tc>
        <w:tc>
          <w:tcPr>
            <w:tcW w:w="1212"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vAlign w:val="center"/>
          </w:tcPr>
          <w:p>
            <w:pPr>
              <w:pStyle w:val="Normal"/>
              <w:spacing w:before="0" w:after="160"/>
              <w:jc w:val="center"/>
              <w:rPr/>
            </w:pPr>
            <w:r>
              <w:rPr>
                <w:sz w:val="18"/>
                <w:szCs w:val="18"/>
              </w:rPr>
              <w:t>Empfänger</w:t>
              <w:br/>
              <w:t>Kategorien</w:t>
            </w:r>
          </w:p>
        </w:tc>
      </w:tr>
      <w:tr>
        <w:trPr>
          <w:trHeight w:val="364" w:hRule="atLeast"/>
        </w:trPr>
        <w:tc>
          <w:tcPr>
            <w:tcW w:w="2255" w:type="dxa"/>
            <w:vMerge w:val="restart"/>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bidi w:val="0"/>
              <w:spacing w:before="0" w:after="160"/>
              <w:jc w:val="left"/>
              <w:textAlignment w:val="baseline"/>
              <w:rPr/>
            </w:pPr>
            <w:r>
              <w:rPr/>
              <w:t>Klienten des Verantwortlichen sowie Patienten/ Klienten von zuweisenden Gesundheitsdienste</w:t>
              <w:softHyphen/>
              <w:t>anbietern oder ÄrztInnen. Klinische PsychologInnen, SozialarbeiterInnen und sonstigen Gesundheitsberufen</w:t>
            </w:r>
          </w:p>
        </w:tc>
        <w:tc>
          <w:tcPr>
            <w:tcW w:w="566"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01</w:t>
            </w:r>
          </w:p>
        </w:tc>
        <w:tc>
          <w:tcPr>
            <w:tcW w:w="2831"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Patienten-/Klientennummer, Protokollnummer</w:t>
            </w:r>
          </w:p>
        </w:tc>
        <w:tc>
          <w:tcPr>
            <w:tcW w:w="1133"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szCs w:val="20"/>
              </w:rPr>
            </w:pPr>
            <w:r>
              <w:rPr>
                <w:sz w:val="20"/>
                <w:szCs w:val="20"/>
              </w:rPr>
              <w:t>Neue Zufalls</w:t>
              <w:br/>
              <w:t>nummer</w:t>
            </w:r>
          </w:p>
        </w:tc>
        <w:tc>
          <w:tcPr>
            <w:tcW w:w="1212" w:type="dxa"/>
            <w:vMerge w:val="restart"/>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
          </w:p>
          <w:p>
            <w:pPr>
              <w:pStyle w:val="Normal"/>
              <w:jc w:val="center"/>
              <w:rPr/>
            </w:pPr>
            <w:r>
              <w:rPr/>
            </w:r>
          </w:p>
          <w:p>
            <w:pPr>
              <w:pStyle w:val="Normal"/>
              <w:jc w:val="center"/>
              <w:rPr/>
            </w:pPr>
            <w:r>
              <w:rPr>
                <w:color w:val="000000"/>
              </w:rPr>
              <w:t>Gesetzlich</w:t>
              <w:br/>
              <w:t>1 + 2 + 7</w:t>
              <w:br/>
              <w:br/>
              <w:t>Einwilligung</w:t>
              <w:br/>
              <w:t>3 + 4</w:t>
            </w:r>
          </w:p>
          <w:p>
            <w:pPr>
              <w:pStyle w:val="Normal"/>
              <w:spacing w:before="0" w:after="160"/>
              <w:jc w:val="center"/>
              <w:rPr/>
            </w:pPr>
            <w:r>
              <w:rPr>
                <w:color w:val="000000"/>
              </w:rPr>
              <w:t>Auftrags</w:t>
              <w:br/>
              <w:t>erfüllung</w:t>
              <w:br/>
              <w:t>5</w:t>
              <w:br/>
              <w:br/>
              <w:t>gesetz/</w:t>
              <w:br/>
              <w:t>Einw</w:t>
              <w:br/>
              <w:t>6</w:t>
            </w:r>
            <w:r>
              <w:rPr>
                <w:color w:val="FF0000"/>
              </w:rPr>
              <w:b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Namen, frühere Namen (Namensteile)</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Anschrift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Telefon- und Faxnummer, Email,</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Geburtsdaten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Staatsangehörigkeit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Geschlecht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rHeight w:val="997" w:hRule="atLeast"/>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Personenstand</w:t>
              <w:br/>
            </w:r>
            <w:r>
              <w:rPr>
                <w:sz w:val="18"/>
                <w:szCs w:val="18"/>
              </w:rPr>
              <w:t>(Verpartnerung ist Info über sexuelle Orientierung)</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09</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Soziale Verhältnisse (z.B. erwerbstätig, Pensionist, Selbstversicherer, arbeitslos) sowie Zusatzfelder zB Beruf, ..</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FF0000"/>
                <w:sz w:val="14"/>
                <w:szCs w:val="14"/>
              </w:rPr>
            </w:pPr>
            <w:r>
              <w:rPr>
                <w:color w:val="000000"/>
                <w:sz w:val="14"/>
                <w:szCs w:val="14"/>
              </w:rPr>
              <w:t>Nur:  erwerbstätig, Pensionist, Selbst-versicherer, arbeitslos</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10</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Sozialversicherungsnummer</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Sozialversicherungsträger</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Sonstige Daten zur Sozialversicherung (das Verwandtschaftsverhältnis zum Hauptversicherten bei mitversicherten Patienten und Daten des Antrages auf Kostenzuschuss für die Weiterführung der Behandlung/Therapie)</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zu einem privaten Versicherungsverhältnis (Versicherer, Polizzennummer usw.)</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sonstiger Kostenträger</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white"/>
              </w:rPr>
            </w:pPr>
            <w:r>
              <w:rPr>
                <w:highlight w:val="white"/>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über die Erklärung der Kostenübernahme durch einen Kostenträger</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white"/>
              </w:rPr>
            </w:pPr>
            <w:r>
              <w:rPr>
                <w:highlight w:val="white"/>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Inanspruchnahme des Auftraggebers (Anlass, Datum, Art und Anzahl der Beratungen/Behandlungen/</w:t>
              <w:br/>
              <w:t>Therapieeinheiten)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zur Verwaltung von Terminen und Wartelisten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Zustand der Person bei Übernahme der Beratung oder Behandlung</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19</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Anamnese (Familien- und Eigenanamnese, Berufsanamnese)</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20</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Vorbehandlungen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Diagnosen (nach ICD-10 und auch Fremddiagnosen) zu Behandlungsbeginn und bei Beendigung</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Besondere Risikofaktoren (zB tätigkeitsbedingte Einflüsse, familiäre Disposition, ausgeübte Tätigkeit)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Gutachtliche Äußerungen des Auftraggebers (zB gegenüber Auftraggebern von Gutachten)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Behandlungs-/Beratungsverlauf, besondere Vorkommnisse während der Behandlung</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Information an Patienten (insbesondere über Gesundheitsrisiken und Schutzfaktoren in verschiedenen Lebensabschnitten bzw.</w:t>
              <w:br/>
              <w:t>-situationen) sowie erfolgte Aufklärungsschritte und allfällige Empfehlungen zur ergänzenden Abklärung</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Angaben über Art, Umfang und Methoden (der beratenden, diagnostischen und therapeutischen Leistungen sowie der Pflege)</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zur Anwendung von Arzneispezialitäten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zur Abrechnung von Honoraren, vereinbartes Honorar und sonstige weitere Vereinbarungen im Rahmen des Behandlungsvertrags</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 solange  inklusive Diagnose</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29</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zur Abrechnung der Gebühren oder Entgelte für Gutachtertätigkeit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 solange inklusive  Diagnose</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30</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Wert, Summe und Gesamtbetrag der Leistungen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Konsultationen von Berufskollegen sowie von Angehörigen anderer Gesundheitsberufe oder sonstiger relevanter Berufe</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32</w:t>
            </w:r>
          </w:p>
        </w:tc>
        <w:tc>
          <w:tcPr>
            <w:tcW w:w="2831"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personenbezogene Daten über strafrechtliche Verurteilungen und Straftaten</w:t>
            </w:r>
          </w:p>
        </w:tc>
        <w:tc>
          <w:tcPr>
            <w:tcW w:w="1133"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Arbeitgeber:</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Name und Anschrift des Arbeitgebers des Hauptversicherten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Kontaktperson (nach Angabe des Patienten/Klienten) oder gesetzlicher Vertreter des Patienten/Klienten:</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Name</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Anschrift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Telefon- und Faxnummer und Email</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Zustimmung des gesetzlichen Vertreters zur Behandlung/Beratung</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Für Alle</w:t>
            </w:r>
          </w:p>
        </w:tc>
        <w:tc>
          <w:tcPr>
            <w:tcW w:w="566"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38</w:t>
            </w:r>
          </w:p>
        </w:tc>
        <w:tc>
          <w:tcPr>
            <w:tcW w:w="2831"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 xml:space="preserve">Sichere verschlüsselt Verbindung,  </w:t>
              <w:br/>
              <w:t>(Schlüssel, Passwort, ...)</w:t>
            </w:r>
          </w:p>
        </w:tc>
        <w:tc>
          <w:tcPr>
            <w:tcW w:w="1133"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Geheim</w:t>
            </w:r>
          </w:p>
        </w:tc>
        <w:tc>
          <w:tcPr>
            <w:tcW w:w="101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vMerge w:val="restart"/>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b/>
                <w:bCs/>
              </w:rPr>
              <w:t>Für Alle</w:t>
            </w:r>
            <w:r>
              <w:rPr/>
              <w:br/>
              <w:t xml:space="preserve">Psychotherapiegesetz </w:t>
            </w:r>
            <w:r>
              <w:rPr>
                <w:rFonts w:cs="Calibri"/>
                <w:color w:val="000000"/>
              </w:rPr>
              <w:t xml:space="preserve"> </w:t>
            </w:r>
          </w:p>
        </w:tc>
        <w:tc>
          <w:tcPr>
            <w:tcW w:w="566"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39</w:t>
            </w:r>
          </w:p>
        </w:tc>
        <w:tc>
          <w:tcPr>
            <w:tcW w:w="2831"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Auskunft bzw Einsicht in Dokumentation</w:t>
              <w:br/>
              <w:t>erteilt bzw. verweigert</w:t>
            </w:r>
          </w:p>
        </w:tc>
        <w:tc>
          <w:tcPr>
            <w:tcW w:w="1133"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b/>
                <w:b/>
                <w:bCs/>
                <w:color w:val="ED1C24"/>
              </w:rPr>
            </w:pPr>
            <w:r>
              <w:rPr/>
              <w:t>Geheim</w:t>
            </w:r>
          </w:p>
        </w:tc>
        <w:tc>
          <w:tcPr>
            <w:tcW w:w="101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b/>
                <w:b/>
                <w:bCs/>
                <w:sz w:val="30"/>
                <w:szCs w:val="30"/>
              </w:rPr>
            </w:pPr>
            <w:r>
              <w:rPr>
                <w:b/>
                <w:bCs/>
                <w:sz w:val="30"/>
                <w:szCs w:val="30"/>
              </w:rPr>
              <w:t>1 -7</w:t>
            </w:r>
          </w:p>
        </w:tc>
      </w:tr>
    </w:tbl>
    <w:p>
      <w:pPr>
        <w:pStyle w:val="Normal"/>
        <w:spacing w:before="0" w:after="283"/>
        <w:rPr/>
      </w:pPr>
      <w:r>
        <w:rPr/>
      </w:r>
    </w:p>
    <w:p>
      <w:pPr>
        <w:pStyle w:val="Berschrift3"/>
        <w:numPr>
          <w:ilvl w:val="2"/>
          <w:numId w:val="4"/>
        </w:numPr>
        <w:spacing w:before="0" w:after="283"/>
        <w:rPr/>
      </w:pPr>
      <w:bookmarkStart w:id="501" w:name="__RefHeading___Toc11263_3103339371"/>
      <w:bookmarkStart w:id="502" w:name="_Toc511051809"/>
      <w:bookmarkEnd w:id="501"/>
      <w:r>
        <w:rPr>
          <w:szCs w:val="24"/>
          <w:lang w:eastAsia="de-AT"/>
        </w:rPr>
        <w:t>Kategorien der Empfänger</w:t>
      </w:r>
      <w:bookmarkEnd w:id="502"/>
      <w:r>
        <w:rPr>
          <w:szCs w:val="24"/>
          <w:lang w:eastAsia="de-AT"/>
        </w:rPr>
        <w:t xml:space="preserve"> </w:t>
      </w:r>
    </w:p>
    <w:p>
      <w:pPr>
        <w:pStyle w:val="Normal"/>
        <w:spacing w:before="0" w:after="283"/>
        <w:rPr>
          <w:rFonts w:eastAsia="Times New Roman"/>
          <w:color w:val="000000"/>
          <w:lang w:eastAsia="de-AT"/>
        </w:rPr>
      </w:pPr>
      <w:r>
        <w:rPr>
          <w:rFonts w:eastAsia="Times New Roman"/>
          <w:color w:val="000000"/>
          <w:lang w:eastAsia="de-AT"/>
        </w:rPr>
        <w:t>Es erfolgt keine Übermittlung an Drittstaaten oder Internationale Organisationen, Übermittlungsort ist Wien bzw. Österreich</w:t>
      </w:r>
    </w:p>
    <w:tbl>
      <w:tblPr>
        <w:tblW w:w="8652" w:type="dxa"/>
        <w:jc w:val="left"/>
        <w:tblInd w:w="-8" w:type="dxa"/>
        <w:tblBorders>
          <w:top w:val="single" w:sz="6" w:space="0" w:color="000001"/>
          <w:left w:val="single" w:sz="6" w:space="0" w:color="000001"/>
          <w:bottom w:val="single" w:sz="6" w:space="0" w:color="000001"/>
          <w:insideH w:val="single" w:sz="6" w:space="0" w:color="000001"/>
        </w:tblBorders>
        <w:tblCellMar>
          <w:top w:w="28" w:type="dxa"/>
          <w:left w:w="19" w:type="dxa"/>
          <w:bottom w:w="28" w:type="dxa"/>
          <w:right w:w="28" w:type="dxa"/>
        </w:tblCellMar>
        <w:tblLook w:firstRow="0" w:noVBand="0" w:lastRow="0" w:firstColumn="0" w:lastColumn="0" w:noHBand="0" w:val="0000"/>
      </w:tblPr>
      <w:tblGrid>
        <w:gridCol w:w="616"/>
        <w:gridCol w:w="2156"/>
        <w:gridCol w:w="5880"/>
      </w:tblGrid>
      <w:tr>
        <w:trPr/>
        <w:tc>
          <w:tcPr>
            <w:tcW w:w="616"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ind w:left="57" w:hanging="0"/>
              <w:jc w:val="center"/>
              <w:rPr>
                <w:rFonts w:eastAsia="Times New Roman"/>
                <w:b/>
                <w:b/>
                <w:bCs/>
                <w:lang w:eastAsia="de-AT"/>
              </w:rPr>
            </w:pPr>
            <w:r>
              <w:rPr>
                <w:rFonts w:eastAsia="Times New Roman"/>
                <w:b/>
                <w:bCs/>
                <w:lang w:eastAsia="de-AT"/>
              </w:rPr>
              <w:t>Nr.</w:t>
            </w:r>
          </w:p>
        </w:tc>
        <w:tc>
          <w:tcPr>
            <w:tcW w:w="2156"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ind w:left="340" w:hanging="0"/>
              <w:jc w:val="center"/>
              <w:rPr>
                <w:rFonts w:eastAsia="Times New Roman"/>
                <w:b/>
                <w:b/>
                <w:bCs/>
                <w:lang w:eastAsia="de-AT"/>
              </w:rPr>
            </w:pPr>
            <w:r>
              <w:rPr>
                <w:rFonts w:eastAsia="Times New Roman"/>
                <w:b/>
                <w:bCs/>
                <w:lang w:eastAsia="de-AT"/>
              </w:rPr>
              <w:t>Rechtsgrundlage</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tabs>
                <w:tab w:val="left" w:pos="0" w:leader="none"/>
                <w:tab w:val="right" w:pos="5584" w:leader="none"/>
              </w:tabs>
              <w:spacing w:before="0" w:after="0"/>
              <w:ind w:hanging="709"/>
              <w:jc w:val="center"/>
              <w:rPr>
                <w:rFonts w:eastAsia="Times New Roman"/>
                <w:b/>
                <w:b/>
                <w:bCs/>
                <w:lang w:eastAsia="de-AT"/>
              </w:rPr>
            </w:pPr>
            <w:r>
              <w:rPr>
                <w:rFonts w:eastAsia="Times New Roman"/>
                <w:b/>
                <w:bCs/>
                <w:lang w:eastAsia="de-AT"/>
              </w:rPr>
              <w:t>Empfängerkategorien</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ind w:left="57" w:hanging="0"/>
              <w:jc w:val="center"/>
              <w:rPr>
                <w:rFonts w:eastAsia="Times New Roman"/>
                <w:lang w:eastAsia="de-AT"/>
              </w:rPr>
            </w:pPr>
            <w:r>
              <w:rPr>
                <w:rFonts w:eastAsia="Times New Roman"/>
                <w:lang w:eastAsia="de-AT"/>
              </w:rPr>
              <w:t>1</w:t>
            </w:r>
          </w:p>
        </w:tc>
        <w:tc>
          <w:tcPr>
            <w:tcW w:w="2156"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rFonts w:eastAsia="Times New Roman"/>
                <w:lang w:eastAsia="de-AT"/>
              </w:rPr>
            </w:pPr>
            <w:r>
              <w:rPr>
                <w:rFonts w:eastAsia="Times New Roman"/>
                <w:lang w:eastAsia="de-AT"/>
              </w:rPr>
              <w:t>gesetzlich</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rFonts w:eastAsia="Times New Roman"/>
                <w:lang w:eastAsia="de-AT"/>
              </w:rPr>
            </w:pPr>
            <w:r>
              <w:rPr>
                <w:rFonts w:eastAsia="Times New Roman"/>
                <w:lang w:eastAsia="de-AT"/>
              </w:rPr>
              <w:t>Sozialversicherungsträger (einschließlich Betriebskrankenkassen), MA11 und sonstige Kostenträger im Rahmen ihrer rechtlichen Befugnisse auf Grund von Gesetzen oder Sozialversicherungsabkommen;</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ind w:left="57" w:hanging="0"/>
              <w:jc w:val="center"/>
              <w:rPr>
                <w:rFonts w:eastAsia="Times New Roman"/>
                <w:lang w:eastAsia="de-AT"/>
              </w:rPr>
            </w:pPr>
            <w:r>
              <w:rPr>
                <w:rFonts w:eastAsia="Times New Roman"/>
                <w:lang w:eastAsia="de-AT"/>
              </w:rPr>
              <w:t>2</w:t>
            </w:r>
          </w:p>
        </w:tc>
        <w:tc>
          <w:tcPr>
            <w:tcW w:w="2156"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ind w:left="113" w:hanging="0"/>
              <w:jc w:val="center"/>
              <w:rPr>
                <w:rFonts w:eastAsia="Times New Roman"/>
                <w:lang w:eastAsia="de-AT"/>
              </w:rPr>
            </w:pPr>
            <w:r>
              <w:rPr>
                <w:rFonts w:eastAsia="Times New Roman"/>
                <w:lang w:eastAsia="de-AT"/>
              </w:rPr>
              <w:t>gesetzlich</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rFonts w:eastAsia="Times New Roman"/>
                <w:lang w:eastAsia="de-AT"/>
              </w:rPr>
            </w:pPr>
            <w:r>
              <w:rPr>
                <w:rFonts w:eastAsia="Times New Roman"/>
                <w:lang w:eastAsia="de-AT"/>
              </w:rPr>
              <w:t>Auftraggeber von Gutachten, soweit die rechtlichen Voraussetzungen für die Erstellung des Gutachtens vorliegen;</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57" w:hanging="0"/>
              <w:jc w:val="center"/>
              <w:rPr>
                <w:rFonts w:eastAsia="Times New Roman"/>
                <w:color w:val="000000"/>
                <w:lang w:eastAsia="de-AT"/>
              </w:rPr>
            </w:pPr>
            <w:r>
              <w:rPr>
                <w:rFonts w:eastAsia="Times New Roman"/>
                <w:color w:val="000000"/>
                <w:lang w:eastAsia="de-AT"/>
              </w:rPr>
              <w:t>3</w:t>
            </w:r>
          </w:p>
        </w:tc>
        <w:tc>
          <w:tcPr>
            <w:tcW w:w="215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113" w:hanging="0"/>
              <w:jc w:val="center"/>
              <w:rPr/>
            </w:pPr>
            <w:r>
              <w:rPr>
                <w:rFonts w:eastAsia="Times New Roman"/>
                <w:color w:val="000000"/>
                <w:sz w:val="21"/>
                <w:szCs w:val="21"/>
                <w:lang w:eastAsia="de-AT"/>
              </w:rPr>
              <w:t>mit ausdrücklicher Einwilligung der KlientInnen</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spacing w:before="100" w:after="100"/>
              <w:rPr/>
            </w:pPr>
            <w:r>
              <w:rPr>
                <w:rFonts w:eastAsia="Times New Roman"/>
                <w:lang w:eastAsia="de-AT"/>
              </w:rPr>
              <w:t>Privatversicherungen zum Zweck der Abwicklung des Versicherungsanspruches</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57" w:hanging="0"/>
              <w:jc w:val="center"/>
              <w:rPr>
                <w:rFonts w:eastAsia="Times New Roman"/>
                <w:color w:val="000000"/>
                <w:lang w:eastAsia="de-AT"/>
              </w:rPr>
            </w:pPr>
            <w:r>
              <w:rPr>
                <w:rFonts w:eastAsia="Times New Roman"/>
                <w:color w:val="000000"/>
                <w:lang w:eastAsia="de-AT"/>
              </w:rPr>
              <w:t>4</w:t>
            </w:r>
          </w:p>
        </w:tc>
        <w:tc>
          <w:tcPr>
            <w:tcW w:w="215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113" w:hanging="0"/>
              <w:jc w:val="center"/>
              <w:rPr/>
            </w:pPr>
            <w:r>
              <w:rPr>
                <w:rFonts w:eastAsia="Times New Roman"/>
                <w:color w:val="000000"/>
                <w:sz w:val="21"/>
                <w:szCs w:val="21"/>
                <w:lang w:eastAsia="de-AT"/>
              </w:rPr>
              <w:t>mit ausdrücklicher Einwilligung der KlientInnen</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spacing w:before="100" w:after="100"/>
              <w:rPr/>
            </w:pPr>
            <w:r>
              <w:rPr>
                <w:rFonts w:eastAsia="Times New Roman"/>
                <w:color w:val="000000"/>
                <w:lang w:eastAsia="de-AT"/>
              </w:rPr>
              <w:t>Ärzte, Vertreter von sonstigen Gesundheitsberufen und medizinische oder soziale Einrichtungen, sowie nicht-ärztliche Gesundheitsberufe in deren Behandlung der Patient steht oder überwiesen wird.</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57" w:hanging="0"/>
              <w:jc w:val="center"/>
              <w:rPr>
                <w:rFonts w:eastAsia="Times New Roman"/>
                <w:color w:val="000000"/>
                <w:lang w:eastAsia="de-AT"/>
              </w:rPr>
            </w:pPr>
            <w:r>
              <w:rPr>
                <w:rFonts w:eastAsia="Times New Roman"/>
                <w:color w:val="000000"/>
                <w:lang w:eastAsia="de-AT"/>
              </w:rPr>
              <w:t>5</w:t>
            </w:r>
          </w:p>
        </w:tc>
        <w:tc>
          <w:tcPr>
            <w:tcW w:w="215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113" w:hanging="0"/>
              <w:jc w:val="center"/>
              <w:rPr/>
            </w:pPr>
            <w:r>
              <w:rPr>
                <w:rFonts w:eastAsia="Times New Roman"/>
                <w:color w:val="000000"/>
                <w:sz w:val="21"/>
                <w:szCs w:val="21"/>
                <w:lang w:eastAsia="de-AT"/>
              </w:rPr>
              <w:t>mit ausdrücklicher Einwilligung der KlientInnen</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widowControl/>
              <w:bidi w:val="0"/>
              <w:spacing w:before="0" w:after="160"/>
              <w:jc w:val="left"/>
              <w:textAlignment w:val="baseline"/>
              <w:rPr/>
            </w:pPr>
            <w:r>
              <w:rPr>
                <w:highlight w:val="yellow"/>
              </w:rPr>
              <w:t>Ihren Honorar-Abrechnungs-Verein eintragen</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57" w:hanging="0"/>
              <w:jc w:val="center"/>
              <w:rPr>
                <w:rFonts w:eastAsia="Times New Roman"/>
                <w:color w:val="000000"/>
                <w:lang w:eastAsia="de-AT"/>
              </w:rPr>
            </w:pPr>
            <w:r>
              <w:rPr>
                <w:rFonts w:eastAsia="Times New Roman"/>
                <w:color w:val="000000"/>
                <w:lang w:eastAsia="de-AT"/>
              </w:rPr>
              <w:t>6</w:t>
            </w:r>
          </w:p>
        </w:tc>
        <w:tc>
          <w:tcPr>
            <w:tcW w:w="215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113" w:hanging="0"/>
              <w:jc w:val="center"/>
              <w:rPr>
                <w:rFonts w:eastAsia="Times New Roman"/>
                <w:color w:val="FF0000"/>
                <w:lang w:eastAsia="de-AT"/>
              </w:rPr>
            </w:pPr>
            <w:r>
              <w:rPr>
                <w:rFonts w:eastAsia="Times New Roman"/>
                <w:color w:val="000000"/>
                <w:lang w:eastAsia="de-AT"/>
              </w:rPr>
              <w:t xml:space="preserve">Nur im Anlassfall </w:t>
              <w:br/>
              <w:t xml:space="preserve">(gesetzl. Regelung </w:t>
              <w:br/>
              <w:t xml:space="preserve">bzw. Einwilligung der </w:t>
              <w:br/>
              <w:t>KlientInnen)</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spacing w:before="100" w:after="100"/>
              <w:rPr>
                <w:rFonts w:eastAsia="Times New Roman"/>
                <w:lang w:eastAsia="de-AT"/>
              </w:rPr>
            </w:pPr>
            <w:r>
              <w:rPr>
                <w:rFonts w:eastAsia="Times New Roman"/>
                <w:lang w:eastAsia="de-AT"/>
              </w:rPr>
              <w:t>Mit der Rechtsdurchsetzung, Streitschlichtung und Klärung von Beschwerden der Patienten/Klienten und Abrechnungsansprüchen (des Auftraggebers) betraute Stellen, insbesondere Rechtsanwälte, Gerichte, Schlichtungsstellen und Patientenanwälte,</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57" w:hanging="0"/>
              <w:jc w:val="center"/>
              <w:rPr>
                <w:rFonts w:eastAsia="Times New Roman"/>
                <w:color w:val="000000"/>
                <w:lang w:eastAsia="de-AT"/>
              </w:rPr>
            </w:pPr>
            <w:r>
              <w:rPr>
                <w:rFonts w:eastAsia="Times New Roman"/>
                <w:color w:val="000000"/>
                <w:lang w:eastAsia="de-AT"/>
              </w:rPr>
              <w:t>7</w:t>
            </w:r>
          </w:p>
        </w:tc>
        <w:tc>
          <w:tcPr>
            <w:tcW w:w="215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113" w:hanging="0"/>
              <w:jc w:val="center"/>
              <w:rPr/>
            </w:pPr>
            <w:bookmarkStart w:id="503" w:name="__DdeLink__10400_47600457"/>
            <w:r>
              <w:rPr>
                <w:rFonts w:eastAsia="Times New Roman"/>
                <w:color w:val="000000"/>
                <w:lang w:eastAsia="de-AT"/>
              </w:rPr>
              <w:t>Im Falle meiner   Karenz,</w:t>
              <w:br/>
              <w:t xml:space="preserve">Pensionierung, </w:t>
              <w:br/>
              <w:t xml:space="preserve">Arbeitsunfähigkeit </w:t>
              <w:br/>
              <w:t>oder Todes</w:t>
            </w:r>
            <w:bookmarkEnd w:id="503"/>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spacing w:before="100" w:after="100"/>
              <w:rPr/>
            </w:pPr>
            <w:r>
              <w:rPr>
                <w:rFonts w:eastAsia="Times New Roman"/>
                <w:lang w:eastAsia="de-AT"/>
              </w:rPr>
              <w:t xml:space="preserve">ist der Erbe oder sonstige Rechtsnachfolger unter Wahrung des Datenschutzes verpflichtet, die Dokumentation für die der Aufbewahrungspflicht entsprechende Dauer gegen Kostenersatz </w:t>
              <w:br/>
            </w:r>
            <w:r>
              <w:rPr/>
              <w:t>1. einem genannten Berufsangehörigen, der in diese Benennung und Pflichtenübernahme schriftlich eingewilligt hat, andernfalls</w:t>
              <w:br/>
              <w:t>2. vom Bundesministerium für Gesundheit zu bestimmenden Dritten zu übermitteln.</w:t>
            </w:r>
          </w:p>
        </w:tc>
      </w:tr>
    </w:tbl>
    <w:p>
      <w:pPr>
        <w:pStyle w:val="Normal"/>
        <w:spacing w:before="0" w:after="0"/>
        <w:rPr>
          <w:rFonts w:ascii="Cambria" w:hAnsi="Cambria" w:eastAsia="Times New Roman"/>
          <w:b/>
          <w:b/>
          <w:bCs/>
          <w:color w:val="548DD4"/>
          <w:sz w:val="24"/>
          <w:szCs w:val="24"/>
          <w:lang w:eastAsia="de-AT"/>
        </w:rPr>
      </w:pPr>
      <w:r>
        <w:rPr>
          <w:rFonts w:eastAsia="Times New Roman" w:ascii="Cambria" w:hAnsi="Cambria"/>
          <w:b/>
          <w:bCs/>
          <w:color w:val="548DD4"/>
          <w:sz w:val="24"/>
          <w:szCs w:val="24"/>
          <w:lang w:eastAsia="de-AT"/>
        </w:rPr>
      </w:r>
    </w:p>
    <w:p>
      <w:pPr>
        <w:pStyle w:val="Berschrift3"/>
        <w:numPr>
          <w:ilvl w:val="2"/>
          <w:numId w:val="4"/>
        </w:numPr>
        <w:rPr>
          <w:lang w:eastAsia="de-AT"/>
        </w:rPr>
      </w:pPr>
      <w:bookmarkStart w:id="504" w:name="__RefHeading___Toc24002_2257849036"/>
      <w:bookmarkEnd w:id="504"/>
      <w:r>
        <w:rPr>
          <w:lang w:eastAsia="de-AT"/>
        </w:rPr>
        <w:t>Speicherdauer und Löschfristen</w:t>
      </w:r>
    </w:p>
    <w:p>
      <w:pPr>
        <w:pStyle w:val="Normal"/>
        <w:spacing w:before="0" w:after="283"/>
        <w:rPr/>
      </w:pPr>
      <w:r>
        <w:rPr>
          <w:lang w:eastAsia="de-AT"/>
        </w:rPr>
        <w:t xml:space="preserve">Die sensiblen Informationen der PatientInnen/KlientInnen sind gemäß </w:t>
      </w:r>
      <w:r>
        <w:rPr>
          <w:color w:val="000000"/>
          <w:lang w:eastAsia="de-AT"/>
        </w:rPr>
        <w:t xml:space="preserve">§16a (3) Dokumentationspflicht Psychotherapiegesetz </w:t>
      </w:r>
      <w:r>
        <w:rPr>
          <w:lang w:eastAsia="de-AT"/>
        </w:rPr>
        <w:t>1990 zehn Jahre aufzubewahren. Weiters ist es zulässig, alle Daten bis zur Beendigung von allfälligen Rechtsstreitigkeiten, bei denen die Daten als Beweis benötigt werden, aufzubewahren.</w:t>
      </w:r>
    </w:p>
    <w:p>
      <w:pPr>
        <w:pStyle w:val="Normal"/>
        <w:spacing w:before="0" w:after="283"/>
        <w:rPr/>
      </w:pPr>
      <w:r>
        <w:rPr>
          <w:lang w:eastAsia="de-AT"/>
        </w:rPr>
        <w:t>Vor allem bei Kindern und Jugendlichen, die Opfer von kriminellen Handlungen und Übergriffen geworden sind und bei denen die Dokumentation später als Beweise benötigt werden könnte, kann die Löschungsfrist auf 30 Jahre und länger im Einzelfall verlängert werden.</w:t>
      </w:r>
    </w:p>
    <w:p>
      <w:pPr>
        <w:pStyle w:val="Berschrift3"/>
        <w:numPr>
          <w:ilvl w:val="2"/>
          <w:numId w:val="4"/>
        </w:numPr>
        <w:rPr>
          <w:lang w:eastAsia="de-AT"/>
        </w:rPr>
      </w:pPr>
      <w:bookmarkStart w:id="505" w:name="__RefHeading___Toc24004_2257849036"/>
      <w:bookmarkEnd w:id="505"/>
      <w:r>
        <w:rPr>
          <w:lang w:eastAsia="de-AT"/>
        </w:rPr>
        <w:t>TOMs</w:t>
      </w:r>
    </w:p>
    <w:p>
      <w:pPr>
        <w:pStyle w:val="Normal"/>
        <w:rPr/>
      </w:pPr>
      <w:r>
        <w:rPr/>
        <w:t xml:space="preserve">siehe dort. Insbesondere nur an jene Empfängern, mit denen eine gesicherte und verschlüsselte Übertragung möglich ist, wird eine elektronische Übertragung vorgenommen. Alle anderen erhalten die pB Daten der Klienten/Patienten ausschließlich per </w:t>
      </w:r>
      <w:r>
        <w:rPr>
          <w:color w:val="000000"/>
          <w:highlight w:val="yellow"/>
        </w:rPr>
        <w:t>eingeschriebener Post</w:t>
      </w:r>
      <w:bookmarkStart w:id="506" w:name="_Toc503945436"/>
      <w:bookmarkEnd w:id="506"/>
      <w:r>
        <w:rPr>
          <w:color w:val="000000"/>
          <w:highlight w:val="yellow"/>
        </w:rPr>
        <w:t xml:space="preserve"> bzw. Ident.Brief</w:t>
      </w:r>
      <w:r>
        <w:rPr>
          <w:color w:val="000000"/>
        </w:rPr>
        <w:t xml:space="preserve"> </w:t>
      </w:r>
      <w:r>
        <w:rPr>
          <w:rFonts w:cs="Calibri"/>
          <w:color w:val="000000"/>
          <w:szCs w:val="18"/>
          <w:highlight w:val="yellow"/>
        </w:rPr>
        <w:t>auf Kosten des Empfängers.</w:t>
      </w:r>
      <w:bookmarkStart w:id="507" w:name="_Toc501127981"/>
      <w:bookmarkStart w:id="508" w:name="_Toc501359997"/>
      <w:bookmarkStart w:id="509" w:name="_Toc501361217"/>
      <w:bookmarkStart w:id="510" w:name="_Toc501369318"/>
      <w:bookmarkStart w:id="511" w:name="_Toc501447661"/>
      <w:bookmarkStart w:id="512" w:name="_Toc501469400"/>
      <w:bookmarkStart w:id="513" w:name="_Toc501545414"/>
      <w:bookmarkStart w:id="514" w:name="_Toc501715498"/>
      <w:bookmarkStart w:id="515" w:name="_Toc503168921"/>
      <w:bookmarkStart w:id="516" w:name="_Toc503285695"/>
      <w:bookmarkStart w:id="517" w:name="_Toc503285930"/>
      <w:bookmarkStart w:id="518" w:name="_Toc503781213"/>
    </w:p>
    <w:p>
      <w:pPr>
        <w:pStyle w:val="Normal"/>
        <w:rPr/>
      </w:pPr>
      <w:r>
        <w:rPr>
          <w:highlight w:val="yellow"/>
        </w:rPr>
        <w:t>x Jahr/ 6 Monate/ 3 Monate / gleich</w:t>
      </w:r>
      <w:r>
        <w:rPr>
          <w:rFonts w:eastAsia="Times New Roman" w:cs="Calibri"/>
          <w:b/>
          <w:bCs/>
          <w:color w:val="00A65D"/>
          <w:lang w:val="de-DE" w:eastAsia="de-AT"/>
        </w:rPr>
        <w:t xml:space="preserve"> </w:t>
      </w:r>
      <w:r>
        <w:rPr/>
        <w:t xml:space="preserve">nach </w:t>
      </w:r>
      <w:r>
        <w:rPr>
          <w:b/>
          <w:bCs/>
          <w:color w:val="000000"/>
        </w:rPr>
        <w:t>Beendigung der Beratung/Behandlung</w:t>
      </w:r>
      <w:r>
        <w:rPr>
          <w:color w:val="000000"/>
        </w:rPr>
        <w:t xml:space="preserve"> bzw. umgehend bei </w:t>
      </w:r>
      <w:r>
        <w:rPr>
          <w:b/>
          <w:bCs/>
          <w:color w:val="000000"/>
        </w:rPr>
        <w:t xml:space="preserve">Antrag auf Löschung </w:t>
      </w:r>
      <w:r>
        <w:rPr>
          <w:color w:val="000000"/>
        </w:rPr>
        <w:t>der pb Daten seitens des Betroffenen,</w:t>
      </w:r>
    </w:p>
    <w:p>
      <w:pPr>
        <w:pStyle w:val="Normal"/>
        <w:numPr>
          <w:ilvl w:val="0"/>
          <w:numId w:val="14"/>
        </w:numPr>
        <w:rPr/>
      </w:pPr>
      <w:r>
        <w:rPr/>
        <w:t>werden alle pb Daten aus dem „</w:t>
      </w:r>
      <w:r>
        <w:rPr>
          <w:lang w:eastAsia="de-AT"/>
        </w:rPr>
        <w:t xml:space="preserve">Rechnungswesen und Geschäftsabwicklung“ </w:t>
      </w:r>
      <w:r>
        <w:rPr>
          <w:highlight w:val="yellow"/>
          <w:lang w:eastAsia="de-AT"/>
        </w:rPr>
        <w:t>und da ich einen Newsletter versenden, auch alle Daten „Kundenbetreuung und Kommunikation“</w:t>
      </w:r>
      <w:r>
        <w:rPr>
          <w:lang w:eastAsia="de-AT"/>
        </w:rPr>
        <w:t xml:space="preserve"> gelöscht, ausgenommen sind Daten, die für die Buchhaltung aufgrund der gesetzlichen Aufbewahrungsfrist 7 Jahre aufbewahrt werden müssen </w:t>
      </w:r>
    </w:p>
    <w:p>
      <w:pPr>
        <w:pStyle w:val="Normal"/>
        <w:numPr>
          <w:ilvl w:val="0"/>
          <w:numId w:val="14"/>
        </w:numPr>
        <w:rPr/>
      </w:pPr>
      <w:r>
        <w:rPr>
          <w:color w:val="000000"/>
          <w:lang w:eastAsia="de-AT"/>
        </w:rPr>
        <w:t xml:space="preserve">werden alle für Archivierung angekreuzten sensiblen Daten </w:t>
      </w:r>
      <w:r>
        <w:rPr>
          <w:lang w:eastAsia="de-AT"/>
        </w:rPr>
        <w:t>aus diesem</w:t>
      </w:r>
      <w:r>
        <w:rPr/>
        <w:t xml:space="preserve"> „Klientenverwaltung und Honorarabrechnung“ -verzeichnis wie folgt behandelt:</w:t>
      </w:r>
    </w:p>
    <w:tbl>
      <w:tblPr>
        <w:tblW w:w="8724" w:type="dxa"/>
        <w:jc w:val="left"/>
        <w:tblInd w:w="-5"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firstRow="1" w:noVBand="1" w:lastRow="0" w:firstColumn="1" w:lastColumn="0" w:noHBand="0" w:val="04a0"/>
      </w:tblPr>
      <w:tblGrid>
        <w:gridCol w:w="1128"/>
        <w:gridCol w:w="7595"/>
      </w:tblGrid>
      <w:tr>
        <w:trPr>
          <w:trHeight w:val="684" w:hRule="atLeast"/>
        </w:trPr>
        <w:tc>
          <w:tcPr>
            <w:tcW w:w="11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jc w:val="center"/>
              <w:rPr/>
            </w:pPr>
            <w:r>
              <w:rPr>
                <w:color w:val="000000"/>
              </w:rPr>
              <w:t>Bitte ankreuzen</w:t>
            </w:r>
          </w:p>
        </w:tc>
        <w:tc>
          <w:tcPr>
            <w:tcW w:w="7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color w:val="000000"/>
              </w:rPr>
            </w:pPr>
            <w:r>
              <w:rPr>
                <w:color w:val="000000"/>
              </w:rPr>
              <w:br/>
              <w:t>Methode</w:t>
            </w:r>
          </w:p>
        </w:tc>
      </w:tr>
      <w:tr>
        <w:trPr>
          <w:trHeight w:val="322" w:hRule="atLeast"/>
        </w:trPr>
        <w:tc>
          <w:tcPr>
            <w:tcW w:w="1128"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pacing w:before="0" w:after="160"/>
              <w:rPr>
                <w:rFonts w:ascii="Liberation Serif" w:hAnsi="Liberation Serif"/>
                <w:color w:val="000000"/>
                <w:sz w:val="24"/>
                <w:szCs w:val="24"/>
              </w:rPr>
            </w:pPr>
            <w:r>
              <w:rPr>
                <w:rFonts w:ascii="Liberation Serif" w:hAnsi="Liberation Serif"/>
                <w:color w:val="000000"/>
                <w:sz w:val="24"/>
                <w:szCs w:val="24"/>
              </w:rPr>
            </w:r>
          </w:p>
        </w:tc>
        <w:tc>
          <w:tcPr>
            <w:tcW w:w="7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before="0" w:after="160"/>
              <w:ind w:left="397" w:hanging="0"/>
              <w:rPr/>
            </w:pPr>
            <w:r>
              <w:rPr>
                <w:color w:val="000000"/>
              </w:rPr>
              <w:t>Analog</w:t>
              <w:br/>
              <w:t>(ausgedruckt in Ordnern an einem sicheren Ort)</w:t>
            </w:r>
          </w:p>
        </w:tc>
      </w:tr>
      <w:tr>
        <w:trPr/>
        <w:tc>
          <w:tcPr>
            <w:tcW w:w="1128"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pacing w:before="0" w:after="160"/>
              <w:rPr>
                <w:rFonts w:ascii="Liberation Serif" w:hAnsi="Liberation Serif"/>
                <w:color w:val="000000"/>
                <w:sz w:val="24"/>
                <w:szCs w:val="24"/>
              </w:rPr>
            </w:pPr>
            <w:r>
              <w:rPr>
                <w:rFonts w:ascii="Liberation Serif" w:hAnsi="Liberation Serif"/>
                <w:color w:val="000000"/>
                <w:sz w:val="24"/>
                <w:szCs w:val="24"/>
              </w:rPr>
            </w:r>
          </w:p>
        </w:tc>
        <w:tc>
          <w:tcPr>
            <w:tcW w:w="7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before="0" w:after="160"/>
              <w:ind w:left="397" w:hanging="0"/>
              <w:rPr/>
            </w:pPr>
            <w:r>
              <w:rPr>
                <w:color w:val="000000"/>
              </w:rPr>
              <w:t>Digital-Intern</w:t>
              <w:br/>
              <w:t>( verschlüsselt auf mind. 2 verschiedenen Datenträger an einem sicheren Ort)</w:t>
            </w:r>
          </w:p>
        </w:tc>
      </w:tr>
      <w:tr>
        <w:trPr>
          <w:trHeight w:val="313" w:hRule="atLeast"/>
        </w:trPr>
        <w:tc>
          <w:tcPr>
            <w:tcW w:w="1128"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pacing w:before="0" w:after="160"/>
              <w:rPr>
                <w:rFonts w:ascii="Liberation Serif" w:hAnsi="Liberation Serif"/>
                <w:color w:val="000000"/>
                <w:sz w:val="24"/>
                <w:szCs w:val="24"/>
              </w:rPr>
            </w:pPr>
            <w:r>
              <w:rPr>
                <w:rFonts w:ascii="Liberation Serif" w:hAnsi="Liberation Serif"/>
                <w:color w:val="000000"/>
                <w:sz w:val="24"/>
                <w:szCs w:val="24"/>
              </w:rPr>
            </w:r>
          </w:p>
        </w:tc>
        <w:tc>
          <w:tcPr>
            <w:tcW w:w="7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before="0" w:after="160"/>
              <w:ind w:left="397" w:hanging="0"/>
              <w:rPr/>
            </w:pPr>
            <w:r>
              <w:rPr>
                <w:color w:val="000000"/>
              </w:rPr>
              <w:t>Digital-Extern</w:t>
              <w:br/>
              <w:t>(verschlüsselt bei einem Anbieter + Vereinbarung Art 28 DSGVO)</w:t>
            </w:r>
          </w:p>
        </w:tc>
      </w:tr>
      <w:tr>
        <w:trPr/>
        <w:tc>
          <w:tcPr>
            <w:tcW w:w="1128"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pacing w:before="0" w:after="160"/>
              <w:rPr>
                <w:rFonts w:ascii="Liberation Serif" w:hAnsi="Liberation Serif"/>
                <w:color w:val="000000"/>
                <w:sz w:val="24"/>
                <w:szCs w:val="24"/>
              </w:rPr>
            </w:pPr>
            <w:r>
              <w:rPr>
                <w:rFonts w:ascii="Liberation Serif" w:hAnsi="Liberation Serif"/>
                <w:color w:val="000000"/>
                <w:sz w:val="24"/>
                <w:szCs w:val="24"/>
              </w:rPr>
            </w:r>
          </w:p>
        </w:tc>
        <w:tc>
          <w:tcPr>
            <w:tcW w:w="7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before="0" w:after="160"/>
              <w:ind w:left="397" w:hanging="0"/>
              <w:rPr/>
            </w:pPr>
            <w:r>
              <w:rPr>
                <w:color w:val="000000"/>
              </w:rPr>
              <w:t>Mikroverfilmung</w:t>
              <w:br/>
              <w:t>(Verfilmt + Vereinbarung Art 28 DSGVO, an einem sicheren Ort)</w:t>
            </w:r>
          </w:p>
        </w:tc>
      </w:tr>
    </w:tbl>
    <w:p>
      <w:pPr>
        <w:pStyle w:val="Normal"/>
        <w:rPr/>
      </w:pPr>
      <w:r>
        <w:rPr/>
      </w:r>
    </w:p>
    <w:p>
      <w:pPr>
        <w:pStyle w:val="Normal"/>
        <w:rPr/>
      </w:pPr>
      <w:r>
        <w:rPr/>
      </w:r>
    </w:p>
    <w:p>
      <w:pPr>
        <w:pStyle w:val="Berschrift1"/>
        <w:numPr>
          <w:ilvl w:val="0"/>
          <w:numId w:val="4"/>
        </w:numPr>
        <w:rPr/>
      </w:pPr>
      <w:bookmarkStart w:id="519" w:name="__RefHeading___Toc31851_1491107819"/>
      <w:bookmarkEnd w:id="519"/>
      <w:r>
        <w:rPr/>
        <w:t>Daten-/Auftragsverarbeitungsverträge</w:t>
      </w:r>
    </w:p>
    <w:p>
      <w:pPr>
        <w:pStyle w:val="Normal"/>
        <w:rPr>
          <w:color w:val="000000" w:themeColor="text1"/>
          <w:kern w:val="2"/>
          <w:sz w:val="22"/>
        </w:rPr>
      </w:pPr>
      <w:r>
        <w:rPr>
          <w:color w:val="000000" w:themeColor="text1"/>
          <w:kern w:val="2"/>
          <w:sz w:val="22"/>
        </w:rPr>
        <w:t>Bitte hier alle Verträge bzw Links zu AGBs usw für alle ihre Auftrags/Datenverarbeiter eintragen:</w:t>
      </w:r>
    </w:p>
    <w:tbl>
      <w:tblPr>
        <w:tblW w:w="8504" w:type="dxa"/>
        <w:jc w:val="left"/>
        <w:tblInd w:w="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Pr>
      <w:tblGrid>
        <w:gridCol w:w="1699"/>
        <w:gridCol w:w="1701"/>
        <w:gridCol w:w="1701"/>
        <w:gridCol w:w="3402"/>
      </w:tblGrid>
      <w:tr>
        <w:trPr/>
        <w:tc>
          <w:tcPr>
            <w:tcW w:w="1699"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center"/>
              <w:rPr>
                <w:rFonts w:ascii="Calibri" w:hAnsi="Calibri" w:eastAsia="Calibri" w:cs="Times New Roman"/>
                <w:b/>
                <w:b/>
                <w:bCs/>
                <w:i w:val="false"/>
                <w:i w:val="false"/>
                <w:iCs w:val="false"/>
                <w:strike w:val="false"/>
                <w:dstrike w:val="false"/>
                <w:outline w:val="false"/>
                <w:shadow w:val="false"/>
                <w:color w:val="000000"/>
                <w:kern w:val="2"/>
                <w:sz w:val="26"/>
                <w:szCs w:val="26"/>
                <w:u w:val="none"/>
                <w:lang w:val="de-AT" w:eastAsia="en-US" w:bidi="ar-SA"/>
              </w:rPr>
            </w:pPr>
            <w:r>
              <w:rPr>
                <w:rFonts w:eastAsia="Calibri" w:cs="Times New Roman"/>
                <w:b/>
                <w:bCs/>
                <w:i w:val="false"/>
                <w:iCs w:val="false"/>
                <w:strike w:val="false"/>
                <w:dstrike w:val="false"/>
                <w:outline w:val="false"/>
                <w:shadow w:val="false"/>
                <w:color w:val="000000"/>
                <w:kern w:val="2"/>
                <w:sz w:val="26"/>
                <w:szCs w:val="26"/>
                <w:u w:val="none"/>
                <w:lang w:val="de-AT" w:eastAsia="en-US" w:bidi="ar-SA"/>
              </w:rPr>
              <w:t>Zweck</w:t>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center"/>
              <w:rPr>
                <w:rFonts w:ascii="Calibri" w:hAnsi="Calibri" w:eastAsia="Calibri" w:cs="Times New Roman"/>
                <w:b/>
                <w:b/>
                <w:bCs/>
                <w:i w:val="false"/>
                <w:i w:val="false"/>
                <w:iCs w:val="false"/>
                <w:strike w:val="false"/>
                <w:dstrike w:val="false"/>
                <w:outline w:val="false"/>
                <w:shadow w:val="false"/>
                <w:color w:val="000000"/>
                <w:kern w:val="2"/>
                <w:sz w:val="26"/>
                <w:szCs w:val="26"/>
                <w:u w:val="none"/>
                <w:lang w:val="de-AT" w:eastAsia="en-US" w:bidi="ar-SA"/>
              </w:rPr>
            </w:pPr>
            <w:r>
              <w:rPr>
                <w:rFonts w:eastAsia="Calibri" w:cs="Times New Roman"/>
                <w:b/>
                <w:bCs/>
                <w:i w:val="false"/>
                <w:iCs w:val="false"/>
                <w:strike w:val="false"/>
                <w:dstrike w:val="false"/>
                <w:outline w:val="false"/>
                <w:shadow w:val="false"/>
                <w:color w:val="000000"/>
                <w:kern w:val="2"/>
                <w:sz w:val="26"/>
                <w:szCs w:val="26"/>
                <w:u w:val="none"/>
                <w:lang w:val="de-AT" w:eastAsia="en-US" w:bidi="ar-SA"/>
              </w:rPr>
              <w:t>Firma</w:t>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center"/>
              <w:rPr>
                <w:rFonts w:ascii="Calibri" w:hAnsi="Calibri" w:eastAsia="Calibri" w:cs="Times New Roman"/>
                <w:b/>
                <w:b/>
                <w:bCs/>
                <w:i w:val="false"/>
                <w:i w:val="false"/>
                <w:iCs w:val="false"/>
                <w:strike w:val="false"/>
                <w:dstrike w:val="false"/>
                <w:outline w:val="false"/>
                <w:shadow w:val="false"/>
                <w:color w:val="000000"/>
                <w:kern w:val="2"/>
                <w:sz w:val="26"/>
                <w:szCs w:val="26"/>
                <w:u w:val="none"/>
                <w:lang w:val="de-AT" w:eastAsia="en-US" w:bidi="ar-SA"/>
              </w:rPr>
            </w:pPr>
            <w:r>
              <w:rPr>
                <w:rFonts w:eastAsia="Calibri" w:cs="Times New Roman"/>
                <w:b/>
                <w:bCs/>
                <w:i w:val="false"/>
                <w:iCs w:val="false"/>
                <w:strike w:val="false"/>
                <w:dstrike w:val="false"/>
                <w:outline w:val="false"/>
                <w:shadow w:val="false"/>
                <w:color w:val="000000"/>
                <w:kern w:val="2"/>
                <w:sz w:val="26"/>
                <w:szCs w:val="26"/>
                <w:u w:val="none"/>
                <w:lang w:val="de-AT" w:eastAsia="en-US" w:bidi="ar-SA"/>
              </w:rPr>
              <w:t>Vertrag archiviert</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center"/>
              <w:rPr>
                <w:rFonts w:ascii="Calibri" w:hAnsi="Calibri" w:eastAsia="Calibri" w:cs="Times New Roman"/>
                <w:b/>
                <w:b/>
                <w:bCs/>
                <w:i w:val="false"/>
                <w:i w:val="false"/>
                <w:iCs w:val="false"/>
                <w:strike w:val="false"/>
                <w:dstrike w:val="false"/>
                <w:outline w:val="false"/>
                <w:shadow w:val="false"/>
                <w:color w:val="000000"/>
                <w:kern w:val="2"/>
                <w:sz w:val="26"/>
                <w:szCs w:val="26"/>
                <w:u w:val="none"/>
                <w:lang w:val="de-AT" w:eastAsia="en-US" w:bidi="ar-SA"/>
              </w:rPr>
            </w:pPr>
            <w:r>
              <w:rPr>
                <w:rFonts w:eastAsia="Calibri" w:cs="Times New Roman"/>
                <w:b/>
                <w:bCs/>
                <w:i w:val="false"/>
                <w:iCs w:val="false"/>
                <w:strike w:val="false"/>
                <w:dstrike w:val="false"/>
                <w:outline w:val="false"/>
                <w:shadow w:val="false"/>
                <w:color w:val="000000"/>
                <w:kern w:val="2"/>
                <w:sz w:val="26"/>
                <w:szCs w:val="26"/>
                <w:u w:val="none"/>
                <w:lang w:val="de-AT" w:eastAsia="en-US" w:bidi="ar-SA"/>
              </w:rPr>
              <w:t>Bemerkungen</w:t>
            </w:r>
          </w:p>
        </w:tc>
      </w:tr>
      <w:tr>
        <w:trPr/>
        <w:tc>
          <w:tcPr>
            <w:tcW w:w="1699"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Homepage-Hoster</w:t>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699"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Newsletter</w:t>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699"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IT mit Fernwartung</w:t>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699"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699"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699"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top w:val="single" w:sz="4" w:space="0" w:color="000001"/>
              <w:left w:val="single" w:sz="4" w:space="0" w:color="000001"/>
              <w:bottom w:val="single" w:sz="4" w:space="0" w:color="000001"/>
              <w:insideH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rPr/>
      </w:pPr>
      <w:r>
        <w:rPr/>
      </w:r>
    </w:p>
    <w:p>
      <w:pPr>
        <w:pStyle w:val="Berschrift1"/>
        <w:numPr>
          <w:ilvl w:val="0"/>
          <w:numId w:val="4"/>
        </w:numPr>
        <w:rPr/>
      </w:pPr>
      <w:bookmarkStart w:id="520" w:name="__RefHeading___Toc31853_1491107819"/>
      <w:bookmarkStart w:id="521" w:name="_Toc503862776"/>
      <w:bookmarkStart w:id="522" w:name="_Toc511051812"/>
      <w:bookmarkStart w:id="523" w:name="_Toc503945438"/>
      <w:bookmarkStart w:id="524" w:name="_Toc507067662"/>
      <w:bookmarkStart w:id="525" w:name="_Toc505870254"/>
      <w:bookmarkStart w:id="526" w:name="_Toc505854357"/>
      <w:bookmarkStart w:id="527" w:name="_Toc505585754"/>
      <w:bookmarkStart w:id="528" w:name="_Toc505255085"/>
      <w:bookmarkStart w:id="529" w:name="_Toc505068736"/>
      <w:bookmarkStart w:id="530" w:name="_Toc504472802"/>
      <w:bookmarkStart w:id="531" w:name="_Toc504155888"/>
      <w:bookmarkStart w:id="532" w:name="_Toc513203939"/>
      <w:bookmarkStart w:id="533" w:name="_Toc514867356"/>
      <w:bookmarkStart w:id="534" w:name="_Toc517698062"/>
      <w:bookmarkStart w:id="535" w:name="_Toc511051810"/>
      <w:bookmarkStart w:id="536" w:name="_Toc511051811"/>
      <w:bookmarkStart w:id="537" w:name="_Toc507067661"/>
      <w:bookmarkEnd w:id="520"/>
      <w:bookmarkEnd w:id="535"/>
      <w:bookmarkEnd w:id="536"/>
      <w:bookmarkEnd w:id="537"/>
      <w:r>
        <w:rPr/>
        <w:t>Beschreibung der technisch-organisatorischen Maßnahmen (TOMs)</w:t>
      </w:r>
      <w:bookmarkEnd w:id="507"/>
      <w:bookmarkEnd w:id="508"/>
      <w:bookmarkEnd w:id="509"/>
      <w:bookmarkEnd w:id="510"/>
      <w:bookmarkEnd w:id="511"/>
      <w:bookmarkEnd w:id="512"/>
      <w:bookmarkEnd w:id="513"/>
      <w:bookmarkEnd w:id="514"/>
      <w:bookmarkEnd w:id="515"/>
      <w:bookmarkEnd w:id="516"/>
      <w:bookmarkEnd w:id="517"/>
      <w:bookmarkEnd w:id="51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Berschrift2"/>
        <w:numPr>
          <w:ilvl w:val="1"/>
          <w:numId w:val="4"/>
        </w:numPr>
        <w:rPr/>
      </w:pPr>
      <w:bookmarkStart w:id="538" w:name="__RefHeading___Toc31855_1491107819"/>
      <w:bookmarkStart w:id="539" w:name="_Toc513203940"/>
      <w:bookmarkStart w:id="540" w:name="_Toc514867357"/>
      <w:bookmarkStart w:id="541" w:name="_Toc517698063"/>
      <w:bookmarkEnd w:id="538"/>
      <w:r>
        <w:rPr/>
        <w:t>Impressum und Datenschutzerklärung</w:t>
      </w:r>
      <w:bookmarkEnd w:id="539"/>
      <w:bookmarkEnd w:id="540"/>
      <w:bookmarkEnd w:id="541"/>
    </w:p>
    <w:p>
      <w:pPr>
        <w:pStyle w:val="Normal"/>
        <w:rPr/>
      </w:pPr>
      <w:r>
        <w:rPr>
          <w:color w:val="CE181E"/>
        </w:rPr>
        <w:br/>
      </w:r>
      <w:r>
        <w:rPr>
          <w:highlight w:val="yellow"/>
        </w:rPr>
        <w:t>Hier Link zu AGBs , Impressum und Datenschutzerklärung in der eigenen Homepage eintragen</w:t>
      </w:r>
    </w:p>
    <w:p>
      <w:pPr>
        <w:pStyle w:val="Berschrift2"/>
        <w:numPr>
          <w:ilvl w:val="1"/>
          <w:numId w:val="4"/>
        </w:numPr>
        <w:rPr/>
      </w:pPr>
      <w:bookmarkStart w:id="542" w:name="__RefHeading___Toc31857_1491107819"/>
      <w:bookmarkStart w:id="543" w:name="_Toc513203941"/>
      <w:bookmarkStart w:id="544" w:name="_Toc514867358"/>
      <w:bookmarkStart w:id="545" w:name="_Toc517698064"/>
      <w:bookmarkEnd w:id="542"/>
      <w:r>
        <w:rPr/>
        <w:t>Grundsätzlich</w:t>
      </w:r>
      <w:bookmarkEnd w:id="543"/>
      <w:bookmarkEnd w:id="544"/>
      <w:bookmarkEnd w:id="545"/>
    </w:p>
    <w:p>
      <w:pPr>
        <w:pStyle w:val="Normal"/>
        <w:rPr/>
      </w:pPr>
      <w:r>
        <w:rPr/>
        <w:t>Die  im „</w:t>
      </w:r>
      <w:r>
        <w:rPr>
          <w:rFonts w:cs="Calibri"/>
          <w:color w:val="000000"/>
        </w:rPr>
        <w:t>Berufskodex für Psychotherapeutinnen und Psychotherapeuten“ formulierten Grundsätze und Maßnahmen sind für mich binden und Grundlage meiner Beratung.</w:t>
      </w:r>
    </w:p>
    <w:p>
      <w:pPr>
        <w:pStyle w:val="Berschrift2"/>
        <w:numPr>
          <w:ilvl w:val="1"/>
          <w:numId w:val="4"/>
        </w:numPr>
        <w:rPr/>
      </w:pPr>
      <w:bookmarkStart w:id="546" w:name="__RefHeading___Toc31859_1491107819"/>
      <w:bookmarkStart w:id="547" w:name="_Toc513203942"/>
      <w:bookmarkStart w:id="548" w:name="_Toc514867359"/>
      <w:bookmarkStart w:id="549" w:name="_Toc517698065"/>
      <w:bookmarkEnd w:id="546"/>
      <w:r>
        <w:rPr/>
        <w:t>Kontaktaufnahme</w:t>
      </w:r>
      <w:bookmarkEnd w:id="547"/>
      <w:bookmarkEnd w:id="548"/>
      <w:bookmarkEnd w:id="549"/>
    </w:p>
    <w:p>
      <w:pPr>
        <w:pStyle w:val="Normal"/>
        <w:rPr/>
      </w:pPr>
      <w:r>
        <w:rPr/>
        <w:t xml:space="preserve">Wenn ein potentieller Klienten </w:t>
      </w:r>
      <w:r>
        <w:rPr>
          <w:u w:val="single"/>
        </w:rPr>
        <w:t>von seiner Seite</w:t>
      </w:r>
      <w:r>
        <w:rPr/>
        <w:t xml:space="preserve"> mit mir per Email oder telefonisch Kontakt aufnimmt, so darf ich dessen Namen, Kontaktdaten, Interesse (Einzel- oder Gruppentherapie, …) zur Durchführung vorvertraglicher Maßnahmen verarbeiten (Art 6 (1) b DSGVO ... auf Anfrage der betroffenen Person ...). Sollte es zu keinem Behandlungsvertrag kommen, so werde ich diese Daten nach 2 Jahren löschen. </w:t>
      </w:r>
    </w:p>
    <w:p>
      <w:pPr>
        <w:pStyle w:val="Normal"/>
        <w:rPr/>
      </w:pPr>
      <w:r>
        <w:rPr/>
        <w:t>In allen meinen Emails steht unter P.S.: „Zur werten Kenntnisnahme meine Datenschutzerklärung!“ mit Link zur Homepage/Datenschutzerklärung</w:t>
      </w:r>
    </w:p>
    <w:p>
      <w:pPr>
        <w:pStyle w:val="Berschrift2"/>
        <w:numPr>
          <w:ilvl w:val="1"/>
          <w:numId w:val="4"/>
        </w:numPr>
        <w:rPr/>
      </w:pPr>
      <w:bookmarkStart w:id="550" w:name="__RefHeading___Toc31861_1491107819"/>
      <w:bookmarkStart w:id="551" w:name="_Toc513203943"/>
      <w:bookmarkStart w:id="552" w:name="_Toc514867360"/>
      <w:bookmarkStart w:id="553" w:name="_Toc517698066"/>
      <w:bookmarkEnd w:id="550"/>
      <w:r>
        <w:rPr/>
        <w:t>Erstgespräch</w:t>
      </w:r>
      <w:bookmarkEnd w:id="551"/>
      <w:bookmarkEnd w:id="552"/>
      <w:bookmarkEnd w:id="553"/>
    </w:p>
    <w:p>
      <w:pPr>
        <w:pStyle w:val="Normal"/>
        <w:rPr/>
      </w:pPr>
      <w:r>
        <w:rPr/>
        <w:t xml:space="preserve">Im Erstgespräch informiere in meine Klienten </w:t>
      </w:r>
    </w:p>
    <w:p>
      <w:pPr>
        <w:pStyle w:val="Normal"/>
        <w:numPr>
          <w:ilvl w:val="0"/>
          <w:numId w:val="31"/>
        </w:numPr>
        <w:rPr/>
      </w:pPr>
      <w:r>
        <w:rPr/>
        <w:t xml:space="preserve">und lege den </w:t>
      </w:r>
      <w:r>
        <w:rPr>
          <w:b/>
          <w:bCs/>
        </w:rPr>
        <w:t>Aushang</w:t>
      </w:r>
      <w:r>
        <w:rPr/>
        <w:t xml:space="preserve"> „ Datenschutzerklärung“ zur Kenntnisnahme vor und dokumentiere dies</w:t>
      </w:r>
    </w:p>
    <w:p>
      <w:pPr>
        <w:pStyle w:val="Normal"/>
        <w:numPr>
          <w:ilvl w:val="0"/>
          <w:numId w:val="31"/>
        </w:numPr>
        <w:rPr/>
      </w:pPr>
      <w:r>
        <w:rPr/>
        <w:t>vor allem mit Hilfe des „</w:t>
      </w:r>
      <w:r>
        <w:rPr>
          <w:b/>
          <w:bCs/>
        </w:rPr>
        <w:t>Informationsblatt über sensible Daten (Art 9 + 13 DSGVO)</w:t>
      </w:r>
      <w:r>
        <w:rPr/>
        <w:t>“ (siehe Anhang) über seine Rechte gemäß DSGVO und wie ich welche sensible Daten verarbeite</w:t>
      </w:r>
    </w:p>
    <w:p>
      <w:pPr>
        <w:pStyle w:val="Normal"/>
        <w:numPr>
          <w:ilvl w:val="0"/>
          <w:numId w:val="31"/>
        </w:numPr>
        <w:rPr/>
      </w:pPr>
      <w:r>
        <w:rPr/>
        <w:t>,dass die gesamte Kommunikation sicher und vertraulich bzw. verschlüsselt erfolgen wird, und zeige auch mit Hilfe meines eigenen sicheren Kommunikations-App, wie dies dann in der Praxis erfolgen könnte. Sollte der Klient kein sicheres App verwenden wollen oder können, so erkläre ich, dass ich z.B. Gutachten ihm/ihr nur per eingeschriebenen Brief zusenden werde und nicht unverschlüsselt per Email.</w:t>
      </w:r>
    </w:p>
    <w:p>
      <w:pPr>
        <w:pStyle w:val="Normal"/>
        <w:numPr>
          <w:ilvl w:val="0"/>
          <w:numId w:val="31"/>
        </w:numPr>
        <w:rPr/>
      </w:pPr>
      <w:r>
        <w:rPr/>
        <w:t>abschließend bitte ich meinen Klienten die „Einwilligungserklärungen betreffs Weiterleitung“ anzukreuzen.</w:t>
      </w:r>
    </w:p>
    <w:p>
      <w:pPr>
        <w:pStyle w:val="Normal"/>
        <w:numPr>
          <w:ilvl w:val="0"/>
          <w:numId w:val="31"/>
        </w:numPr>
        <w:rPr/>
      </w:pPr>
      <w:r>
        <w:rPr/>
        <w:t xml:space="preserve">Auch Bestandsklienten werde ich entsprechend informieren und ihnen diese  </w:t>
      </w:r>
      <w:r>
        <w:rPr>
          <w:b/>
          <w:bCs/>
        </w:rPr>
        <w:t>Informationsblatt über sensible Daten (Art 9 + 13 DSGVO)</w:t>
      </w:r>
      <w:r>
        <w:rPr/>
        <w:t xml:space="preserve"> zur Kenntnisnahme vorlegen.</w:t>
      </w:r>
    </w:p>
    <w:p>
      <w:pPr>
        <w:pStyle w:val="Berschrift2"/>
        <w:numPr>
          <w:ilvl w:val="1"/>
          <w:numId w:val="4"/>
        </w:numPr>
        <w:rPr/>
      </w:pPr>
      <w:bookmarkStart w:id="554" w:name="__RefHeading___Toc31863_1491107819"/>
      <w:bookmarkStart w:id="555" w:name="_Toc511051816"/>
      <w:bookmarkStart w:id="556" w:name="_Toc5011280161"/>
      <w:bookmarkStart w:id="557" w:name="_Toc5070677031"/>
      <w:bookmarkStart w:id="558" w:name="_Toc5069784591"/>
      <w:bookmarkStart w:id="559" w:name="_Toc5063706321"/>
      <w:bookmarkStart w:id="560" w:name="_Toc5058702941"/>
      <w:bookmarkStart w:id="561" w:name="_Toc5058543961"/>
      <w:bookmarkStart w:id="562" w:name="_Toc5055857931"/>
      <w:bookmarkStart w:id="563" w:name="_Toc5052551241"/>
      <w:bookmarkStart w:id="564" w:name="_Toc5050687711"/>
      <w:bookmarkStart w:id="565" w:name="_Toc5044728351"/>
      <w:bookmarkStart w:id="566" w:name="_Toc5041559211"/>
      <w:bookmarkStart w:id="567" w:name="_Toc5039454711"/>
      <w:bookmarkStart w:id="568" w:name="_Toc5038628091"/>
      <w:bookmarkStart w:id="569" w:name="_Toc5037812461"/>
      <w:bookmarkStart w:id="570" w:name="_Toc5037809261"/>
      <w:bookmarkStart w:id="571" w:name="_Toc5032859711"/>
      <w:bookmarkStart w:id="572" w:name="_Toc5032857361"/>
      <w:bookmarkStart w:id="573" w:name="_Toc5031689631"/>
      <w:bookmarkStart w:id="574" w:name="_Toc5017155401"/>
      <w:bookmarkStart w:id="575" w:name="_Toc5015454561"/>
      <w:bookmarkStart w:id="576" w:name="_Toc5014694391"/>
      <w:bookmarkStart w:id="577" w:name="_Toc5014476991"/>
      <w:bookmarkStart w:id="578" w:name="_Toc5013693561"/>
      <w:bookmarkStart w:id="579" w:name="_Toc5013612551"/>
      <w:bookmarkStart w:id="580" w:name="_Toc5013600341"/>
      <w:bookmarkStart w:id="581" w:name="_Toc513203944"/>
      <w:bookmarkStart w:id="582" w:name="_Toc514867361"/>
      <w:bookmarkStart w:id="583" w:name="_Toc517698067"/>
      <w:bookmarkEnd w:id="554"/>
      <w:r>
        <w:rPr/>
        <w:t>Zutrittskontrolle</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t>Maßnahmen, die geeignet sind, Unbefugten den Zutritt zu Datenverarbeitungsanlagen, mit denen personenbezogene Daten verarbeitet oder genutzt werden, zu verwehren.</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402"/>
        <w:gridCol w:w="3826"/>
        <w:gridCol w:w="404"/>
        <w:gridCol w:w="3871"/>
      </w:tblGrid>
      <w:tr>
        <w:trPr>
          <w:trHeight w:val="166"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sz w:val="18"/>
              </w:rPr>
            </w:pPr>
            <w:r>
              <w:rPr>
                <w:sz w:val="18"/>
              </w:rPr>
              <w:t>?</w:t>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sz w:val="19"/>
                <w:szCs w:val="19"/>
              </w:rPr>
              <w:t>Alarmanlage</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sz w:val="19"/>
                <w:szCs w:val="19"/>
              </w:rPr>
            </w:pPr>
            <w:r>
              <w:rPr>
                <w:sz w:val="19"/>
                <w:szCs w:val="19"/>
              </w:rPr>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sz w:val="19"/>
                <w:szCs w:val="19"/>
              </w:rPr>
              <w:t>Absicherung von Gebäudeschächten</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sz w:val="18"/>
              </w:rPr>
            </w:pPr>
            <w:r>
              <w:rPr>
                <w:b/>
                <w:bCs/>
                <w:color w:val="000000"/>
                <w:szCs w:val="24"/>
              </w:rPr>
              <w:t>X</w:t>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19"/>
                <w:szCs w:val="19"/>
              </w:rPr>
              <w:t>Rücksicht beim Aufrufen der Klienten  usw.</w:t>
              <w:br/>
              <w:t>(siehe Kodex)</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Chipkarten-/Transponder-Schließsystem</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19"/>
                <w:szCs w:val="19"/>
              </w:rPr>
              <w:t>Schließsystem mit Codesperre</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color w:val="000000"/>
                <w:szCs w:val="24"/>
              </w:rPr>
              <w:t>X</w:t>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Manuelles Schließsystem</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19"/>
                <w:szCs w:val="19"/>
              </w:rPr>
              <w:t>Automatisches Zugangskontrollsystem</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Videoüberwachung der Zugänge</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19"/>
                <w:szCs w:val="19"/>
              </w:rPr>
              <w:t>Lichtschranken / Bewegungsmelder</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color w:val="000000"/>
                <w:szCs w:val="24"/>
              </w:rPr>
              <w:t>X</w:t>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19"/>
                <w:szCs w:val="19"/>
              </w:rPr>
              <w:t>Sicherheitsschlösser – auch bei Aktenkästen</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8"/>
              </w:rPr>
            </w:pPr>
            <w:r>
              <w:rPr>
                <w:b/>
                <w:bCs/>
                <w:color w:val="000000"/>
                <w:szCs w:val="24"/>
              </w:rPr>
              <w:t>X</w:t>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Schlüsselregelung (Schlüsselausgabe etc.)</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Personenkontrolle beim Pförtner / Empfang</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8"/>
              </w:rPr>
            </w:pPr>
            <w:r>
              <w:rPr>
                <w:b/>
                <w:bCs/>
                <w:color w:val="000000"/>
                <w:szCs w:val="24"/>
              </w:rPr>
              <w:t>X</w:t>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Protokollierung der Besucher</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color w:val="000000"/>
                <w:szCs w:val="24"/>
              </w:rPr>
              <w:t>X</w:t>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Sorgfältige Auswahl von Reinigungspersonal</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8"/>
              </w:rPr>
            </w:pPr>
            <w:r>
              <w:rPr>
                <w:b/>
                <w:bCs/>
                <w:color w:val="000000"/>
                <w:szCs w:val="24"/>
              </w:rPr>
              <w:t>X</w:t>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19"/>
                <w:szCs w:val="19"/>
              </w:rPr>
              <w:t>Bildschirmsperre nach 10 Minuten</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Tragepflicht von Berechtigungsausweisen</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8"/>
              </w:rPr>
            </w:pPr>
            <w:r>
              <w:rPr>
                <w:b/>
                <w:bCs/>
                <w:color w:val="000000"/>
                <w:szCs w:val="24"/>
              </w:rPr>
              <w:t>X</w:t>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Verschlossene Türen bei Abwesenheit</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color w:val="000000"/>
                <w:szCs w:val="24"/>
              </w:rPr>
              <w:t>X</w:t>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Fenstersicherung (Erdgeschoss)</w:t>
            </w:r>
          </w:p>
        </w:tc>
      </w:tr>
    </w:tbl>
    <w:p>
      <w:pPr>
        <w:pStyle w:val="Berschrift2"/>
        <w:numPr>
          <w:ilvl w:val="1"/>
          <w:numId w:val="4"/>
        </w:numPr>
        <w:rPr/>
      </w:pPr>
      <w:bookmarkStart w:id="584" w:name="__RefHeading___Toc31865_1491107819"/>
      <w:bookmarkStart w:id="585" w:name="_Toc511051817"/>
      <w:bookmarkStart w:id="586" w:name="_Toc5011280171"/>
      <w:bookmarkStart w:id="587" w:name="_Toc5070677041"/>
      <w:bookmarkStart w:id="588" w:name="_Toc5069784601"/>
      <w:bookmarkStart w:id="589" w:name="_Toc5063706331"/>
      <w:bookmarkStart w:id="590" w:name="_Toc5058702951"/>
      <w:bookmarkStart w:id="591" w:name="_Toc5058543971"/>
      <w:bookmarkStart w:id="592" w:name="_Toc5055857941"/>
      <w:bookmarkStart w:id="593" w:name="_Toc5052551251"/>
      <w:bookmarkStart w:id="594" w:name="_Toc5050687721"/>
      <w:bookmarkStart w:id="595" w:name="_Toc5044728361"/>
      <w:bookmarkStart w:id="596" w:name="_Toc5041559221"/>
      <w:bookmarkStart w:id="597" w:name="_Toc5039454721"/>
      <w:bookmarkStart w:id="598" w:name="_Toc5038628101"/>
      <w:bookmarkStart w:id="599" w:name="_Toc5037812471"/>
      <w:bookmarkStart w:id="600" w:name="_Toc5037809271"/>
      <w:bookmarkStart w:id="601" w:name="_Toc5032859721"/>
      <w:bookmarkStart w:id="602" w:name="_Toc5032857371"/>
      <w:bookmarkStart w:id="603" w:name="_Toc5031689641"/>
      <w:bookmarkStart w:id="604" w:name="_Toc5017155411"/>
      <w:bookmarkStart w:id="605" w:name="_Toc5015454571"/>
      <w:bookmarkStart w:id="606" w:name="_Toc5014694401"/>
      <w:bookmarkStart w:id="607" w:name="_Toc5014477001"/>
      <w:bookmarkStart w:id="608" w:name="_Toc5013693571"/>
      <w:bookmarkStart w:id="609" w:name="_Toc5013612561"/>
      <w:bookmarkStart w:id="610" w:name="_Toc5013600351"/>
      <w:bookmarkStart w:id="611" w:name="_Toc513203945"/>
      <w:bookmarkStart w:id="612" w:name="_Toc514867362"/>
      <w:bookmarkStart w:id="613" w:name="_Toc517698068"/>
      <w:bookmarkEnd w:id="584"/>
      <w:r>
        <w:rPr/>
        <w:t>Zugangskontrolle</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pPr>
      <w:r>
        <w:rPr>
          <w:rFonts w:cs="Arial" w:ascii="Arial" w:hAnsi="Arial"/>
          <w:i/>
          <w:sz w:val="18"/>
          <w:szCs w:val="18"/>
        </w:rPr>
        <w:t>Maßnahmen, die geeignet sind</w:t>
      </w:r>
      <w:r>
        <w:rPr/>
        <w:t xml:space="preserve"> </w:t>
      </w:r>
      <w:r>
        <w:rPr>
          <w:rFonts w:cs="Arial" w:ascii="Arial" w:hAnsi="Arial"/>
          <w:i/>
          <w:sz w:val="18"/>
          <w:szCs w:val="18"/>
        </w:rPr>
        <w:t>zu verhindern, dass Datenverarbeitungssysteme von Unbefugten genutzt werden können.</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460"/>
        <w:gridCol w:w="3813"/>
        <w:gridCol w:w="391"/>
        <w:gridCol w:w="3839"/>
      </w:tblGrid>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Zuordnung von Benutzerrechten</w:t>
              <w:br/>
            </w:r>
            <w:r>
              <w:rPr>
                <w:rFonts w:eastAsia="Zapf Dingbats" w:cs="Arial" w:ascii="Arial" w:hAnsi="Arial"/>
                <w:b/>
                <w:bCs/>
                <w:sz w:val="20"/>
              </w:rPr>
              <w:t>Einzelpraxis, daher Verantwortliche</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Erstellen von Benutzerprofilen</w:t>
              <w:br/>
            </w:r>
            <w:r>
              <w:rPr>
                <w:rFonts w:eastAsia="Zapf Dingbats" w:cs="Arial" w:ascii="Arial" w:hAnsi="Arial"/>
                <w:b/>
                <w:bCs/>
                <w:sz w:val="20"/>
              </w:rPr>
              <w:t>Einzelpraxis, daher Verantwortliche</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Passwortvergabe</w:t>
              <w:br/>
            </w:r>
            <w:r>
              <w:rPr>
                <w:rFonts w:eastAsia="Zapf Dingbats" w:cs="Arial" w:ascii="Arial" w:hAnsi="Arial"/>
                <w:b/>
                <w:bCs/>
                <w:sz w:val="20"/>
              </w:rPr>
              <w:t>Einzelpraxis, daher Verantwortliche</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Authentifikation mit biometrischen Verfahren</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Authentifikation mit Benutzername / Passwort</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Zuordnung von Benutzerprofilen zu IT-Systemen</w:t>
              <w:br/>
            </w:r>
            <w:r>
              <w:rPr>
                <w:rFonts w:eastAsia="Zapf Dingbats" w:cs="Arial" w:ascii="Arial" w:hAnsi="Arial"/>
                <w:b/>
                <w:bCs/>
                <w:sz w:val="20"/>
              </w:rPr>
              <w:t>Einzelpraxis, daher Verantwortliche</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Gehäuseverriegelungen</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Einsatz von VPN-Technologie</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Sperren von externen Schnittstellen (USB etc.)</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Sicherheitsschlösser</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Schlüsselregelung (Schlüsselausgabe etc.)</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Personenkontrolle beim Pförtner / Empfang</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Protokollierung der Besucher</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Sorgfältige Auswahl von Reinigungspersonal</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pPr>
            <w:r>
              <w:rPr/>
              <w:t>?</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Eigenes Handy für Beruf</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Tragepflicht von Berechtigungsausweisen</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Einsatz von Intrusion-Detection-Systemen</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Verschlüsselung von mobilen Datenträgern</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Verschlüsselung von Smartphone-Inhalten</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Einsatz von zentraler Smartphone-Administrations-Software (z.B. zum externen Löschen von Daten)</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Einsatz von Anti-Viren-Software</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Verschlüsselung von Datenträgern in Laptops / Notebooks / USB</w:t>
            </w:r>
          </w:p>
        </w:tc>
      </w:tr>
      <w:tr>
        <w:trPr>
          <w:trHeight w:val="182"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ED1C24"/>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Einsatz einer Hardware-Firewall</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ED1C24"/>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Einsatz einer Software-Firewall</w:t>
            </w:r>
          </w:p>
        </w:tc>
      </w:tr>
    </w:tbl>
    <w:p>
      <w:pPr>
        <w:pStyle w:val="Berschrift2"/>
        <w:numPr>
          <w:ilvl w:val="1"/>
          <w:numId w:val="4"/>
        </w:numPr>
        <w:rPr/>
      </w:pPr>
      <w:bookmarkStart w:id="614" w:name="__RefHeading___Toc31867_1491107819"/>
      <w:bookmarkStart w:id="615" w:name="_Toc511051818"/>
      <w:bookmarkStart w:id="616" w:name="_Toc5011280181"/>
      <w:bookmarkStart w:id="617" w:name="_Toc5070677051"/>
      <w:bookmarkStart w:id="618" w:name="_Toc5069784611"/>
      <w:bookmarkStart w:id="619" w:name="_Toc5063706341"/>
      <w:bookmarkStart w:id="620" w:name="_Toc5058702961"/>
      <w:bookmarkStart w:id="621" w:name="_Toc5058543981"/>
      <w:bookmarkStart w:id="622" w:name="_Toc5055857951"/>
      <w:bookmarkStart w:id="623" w:name="_Toc5052551261"/>
      <w:bookmarkStart w:id="624" w:name="_Toc5050687731"/>
      <w:bookmarkStart w:id="625" w:name="_Toc5044728371"/>
      <w:bookmarkStart w:id="626" w:name="_Toc5041559231"/>
      <w:bookmarkStart w:id="627" w:name="_Toc5039454731"/>
      <w:bookmarkStart w:id="628" w:name="_Toc5038628111"/>
      <w:bookmarkStart w:id="629" w:name="_Toc5037812481"/>
      <w:bookmarkStart w:id="630" w:name="_Toc5037809281"/>
      <w:bookmarkStart w:id="631" w:name="_Toc5032859731"/>
      <w:bookmarkStart w:id="632" w:name="_Toc5032857381"/>
      <w:bookmarkStart w:id="633" w:name="_Toc5031689651"/>
      <w:bookmarkStart w:id="634" w:name="_Toc5017155421"/>
      <w:bookmarkStart w:id="635" w:name="_Toc5015454581"/>
      <w:bookmarkStart w:id="636" w:name="_Toc5014694411"/>
      <w:bookmarkStart w:id="637" w:name="_Toc5014477011"/>
      <w:bookmarkStart w:id="638" w:name="_Toc5013693581"/>
      <w:bookmarkStart w:id="639" w:name="_Toc5013612571"/>
      <w:bookmarkStart w:id="640" w:name="_Toc5013600361"/>
      <w:bookmarkStart w:id="641" w:name="_Toc513203946"/>
      <w:bookmarkStart w:id="642" w:name="_Toc514867363"/>
      <w:bookmarkStart w:id="643" w:name="_Toc517698069"/>
      <w:bookmarkEnd w:id="614"/>
      <w:r>
        <w:rPr/>
        <w:t>Zugriffskontrolle</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cs="Arial"/>
          <w:i/>
          <w:i/>
          <w:sz w:val="18"/>
          <w:szCs w:val="18"/>
        </w:rPr>
      </w:pPr>
      <w:r>
        <w:rPr>
          <w:rFonts w:cs="Arial"/>
          <w:i/>
          <w:sz w:val="18"/>
          <w:szCs w:val="18"/>
        </w:rPr>
        <w:t>Maßnahmen, die gewährleisten, dass die zur Benutzung eines Datenverarbeitungssystems Berechtigten ausschließlich auf die ihrer Zugriffsberechtigung, hier nur der Verantwortliche. unterliegenden Daten zugreifen können, und dass personenbezogene Daten bei der Verarbeitung, Nutzung und nach der Speicherung nicht unbefugt gelesen, kopiert, verändert oder entfernt werden können.</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392"/>
        <w:gridCol w:w="4087"/>
        <w:gridCol w:w="392"/>
        <w:gridCol w:w="3632"/>
      </w:tblGrid>
      <w:tr>
        <w:trPr>
          <w:trHeight w:val="220" w:hRule="atLeast"/>
          <w:cantSplit w:val="true"/>
        </w:trPr>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40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Erstellen eines Berechtigungskonzepts</w:t>
              <w:br/>
            </w:r>
            <w:r>
              <w:rPr>
                <w:rFonts w:eastAsia="Zapf Dingbats" w:cs="Arial" w:ascii="Arial" w:hAnsi="Arial"/>
                <w:b/>
                <w:bCs/>
                <w:sz w:val="20"/>
              </w:rPr>
              <w:t>Einzelpraxis, daher Verantwortliche</w:t>
            </w:r>
          </w:p>
        </w:tc>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3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Verwaltung der Rechte durch Systemadministrator</w:t>
              <w:br/>
            </w:r>
            <w:r>
              <w:rPr>
                <w:rFonts w:eastAsia="Zapf Dingbats" w:cs="Arial" w:ascii="Arial" w:hAnsi="Arial"/>
                <w:b/>
                <w:bCs/>
                <w:sz w:val="20"/>
              </w:rPr>
              <w:t>Einzelpraxis, daher Verantwortliche</w:t>
            </w:r>
          </w:p>
        </w:tc>
      </w:tr>
      <w:tr>
        <w:trPr>
          <w:trHeight w:val="220" w:hRule="atLeast"/>
          <w:cantSplit w:val="true"/>
        </w:trPr>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40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Anzahl der Administratoren auf das „Notwendigste“ reduziert</w:t>
              <w:br/>
            </w:r>
            <w:r>
              <w:rPr>
                <w:rFonts w:eastAsia="Zapf Dingbats" w:cs="Arial" w:ascii="Arial" w:hAnsi="Arial"/>
                <w:b/>
                <w:bCs/>
                <w:sz w:val="20"/>
              </w:rPr>
              <w:t>Einzelpraxis, daher Verantwortliche</w:t>
            </w:r>
          </w:p>
        </w:tc>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20"/>
              </w:rPr>
              <w:t>Passwortlänge, Passwortwechsel</w:t>
            </w:r>
          </w:p>
        </w:tc>
      </w:tr>
      <w:tr>
        <w:trPr>
          <w:trHeight w:val="220" w:hRule="atLeast"/>
          <w:cantSplit w:val="true"/>
        </w:trPr>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40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Protokollierung von Zugriffen auf Anwendungen, insbesondere bei der Eingabe, Änderung und Löschung von Daten</w:t>
              <w:br/>
            </w:r>
            <w:r>
              <w:rPr>
                <w:rFonts w:eastAsia="Zapf Dingbats" w:cs="Arial" w:ascii="Arial" w:hAnsi="Arial"/>
                <w:b/>
                <w:bCs/>
                <w:sz w:val="20"/>
              </w:rPr>
              <w:t>Einzelpraxis, daher Verantwortliche</w:t>
            </w:r>
          </w:p>
        </w:tc>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Sichere Aufbewahrung von Datenträgern</w:t>
              <w:br/>
              <w:t>(Data-Safe)</w:t>
            </w:r>
          </w:p>
        </w:tc>
      </w:tr>
      <w:tr>
        <w:trPr>
          <w:trHeight w:val="220" w:hRule="atLeast"/>
          <w:cantSplit w:val="true"/>
        </w:trPr>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color w:val="ED1C24"/>
                <w:sz w:val="19"/>
                <w:szCs w:val="19"/>
              </w:rPr>
              <w:t>X</w:t>
            </w:r>
          </w:p>
        </w:tc>
        <w:tc>
          <w:tcPr>
            <w:tcW w:w="40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physische Löschung von Datenträgern vor Wiederverwendung</w:t>
              <w:br/>
              <w:t>(extern nur mit Datenverarbeitungsvereinbarung)</w:t>
            </w:r>
          </w:p>
        </w:tc>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color w:val="000000"/>
                <w:sz w:val="19"/>
                <w:szCs w:val="19"/>
              </w:rPr>
              <w:t>X</w:t>
            </w:r>
          </w:p>
        </w:tc>
        <w:tc>
          <w:tcPr>
            <w:tcW w:w="3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ordnungsgemäße Vernichtung von Datenträgern (DIN 32757)</w:t>
            </w:r>
          </w:p>
        </w:tc>
      </w:tr>
      <w:tr>
        <w:trPr>
          <w:trHeight w:val="220" w:hRule="atLeast"/>
          <w:cantSplit w:val="true"/>
        </w:trPr>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40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Einsatz von Aktenvernichtern bzw. Dienstleistern (nach Möglichkeit mit Datenschutz-Gütesiegel)</w:t>
            </w:r>
          </w:p>
        </w:tc>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Protokollierung der Vernichtung</w:t>
            </w:r>
          </w:p>
        </w:tc>
      </w:tr>
      <w:tr>
        <w:trPr>
          <w:trHeight w:val="220" w:hRule="atLeast"/>
          <w:cantSplit w:val="true"/>
        </w:trPr>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40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Verschlüsselung von Datenträgern</w:t>
            </w:r>
          </w:p>
        </w:tc>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color w:val="000000"/>
                <w:sz w:val="20"/>
              </w:rPr>
            </w:pPr>
            <w:r>
              <w:rPr>
                <w:rFonts w:eastAsia="Zapf Dingbats" w:cs="Arial" w:ascii="Arial" w:hAnsi="Arial"/>
                <w:color w:val="000000"/>
                <w:sz w:val="20"/>
              </w:rPr>
            </w:r>
          </w:p>
        </w:tc>
        <w:tc>
          <w:tcPr>
            <w:tcW w:w="3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color w:val="000000"/>
                <w:sz w:val="20"/>
              </w:rPr>
            </w:pPr>
            <w:r>
              <w:rPr>
                <w:rFonts w:eastAsia="Zapf Dingbats" w:cs="Arial" w:ascii="Arial" w:hAnsi="Arial"/>
                <w:color w:val="000000"/>
                <w:sz w:val="20"/>
              </w:rPr>
            </w:r>
          </w:p>
        </w:tc>
      </w:tr>
    </w:tbl>
    <w:p>
      <w:pPr>
        <w:pStyle w:val="Berschrift2"/>
        <w:numPr>
          <w:ilvl w:val="1"/>
          <w:numId w:val="4"/>
        </w:numPr>
        <w:rPr/>
      </w:pPr>
      <w:bookmarkStart w:id="644" w:name="__RefHeading___Toc31869_1491107819"/>
      <w:bookmarkStart w:id="645" w:name="_Toc511051819"/>
      <w:bookmarkStart w:id="646" w:name="_Toc5011280191"/>
      <w:bookmarkStart w:id="647" w:name="_Toc5070677061"/>
      <w:bookmarkStart w:id="648" w:name="_Toc5069784621"/>
      <w:bookmarkStart w:id="649" w:name="_Toc5063706351"/>
      <w:bookmarkStart w:id="650" w:name="_Toc5058702971"/>
      <w:bookmarkStart w:id="651" w:name="_Toc5058543991"/>
      <w:bookmarkStart w:id="652" w:name="_Toc5055857961"/>
      <w:bookmarkStart w:id="653" w:name="_Toc5052551271"/>
      <w:bookmarkStart w:id="654" w:name="_Toc5050687741"/>
      <w:bookmarkStart w:id="655" w:name="_Toc5044728381"/>
      <w:bookmarkStart w:id="656" w:name="_Toc5041559241"/>
      <w:bookmarkStart w:id="657" w:name="_Toc5039454741"/>
      <w:bookmarkStart w:id="658" w:name="_Toc5038628121"/>
      <w:bookmarkStart w:id="659" w:name="_Toc5037812491"/>
      <w:bookmarkStart w:id="660" w:name="_Toc5037809291"/>
      <w:bookmarkStart w:id="661" w:name="_Toc5032859741"/>
      <w:bookmarkStart w:id="662" w:name="_Toc5032857391"/>
      <w:bookmarkStart w:id="663" w:name="_Toc5031689661"/>
      <w:bookmarkStart w:id="664" w:name="_Toc5017155431"/>
      <w:bookmarkStart w:id="665" w:name="_Toc5015454591"/>
      <w:bookmarkStart w:id="666" w:name="_Toc5014694421"/>
      <w:bookmarkStart w:id="667" w:name="_Toc5014477021"/>
      <w:bookmarkStart w:id="668" w:name="_Toc5013693591"/>
      <w:bookmarkStart w:id="669" w:name="_Toc5013612581"/>
      <w:bookmarkStart w:id="670" w:name="_Toc5013600371"/>
      <w:bookmarkStart w:id="671" w:name="_Toc513203947"/>
      <w:bookmarkStart w:id="672" w:name="_Toc514867364"/>
      <w:bookmarkStart w:id="673" w:name="_Toc517698070"/>
      <w:bookmarkEnd w:id="644"/>
      <w:r>
        <w:rPr/>
        <w:t>Weitergabekontrolle</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cs="Arial"/>
          <w:i/>
          <w:i/>
          <w:sz w:val="18"/>
          <w:szCs w:val="18"/>
        </w:rPr>
      </w:pPr>
      <w:r>
        <w:rPr>
          <w:rFonts w:cs="Arial"/>
          <w:i/>
          <w:sz w:val="18"/>
          <w:szCs w:val="18"/>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390"/>
        <w:gridCol w:w="3863"/>
        <w:gridCol w:w="388"/>
        <w:gridCol w:w="3862"/>
      </w:tblGrid>
      <w:tr>
        <w:trPr>
          <w:trHeight w:val="220" w:hRule="atLeast"/>
          <w:cantSplit w:val="true"/>
        </w:trPr>
        <w:tc>
          <w:tcPr>
            <w:tcW w:w="39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6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Einrichtungen von Standleitungen bzw. VPN-Tunneln</w:t>
            </w:r>
          </w:p>
        </w:tc>
        <w:tc>
          <w:tcPr>
            <w:tcW w:w="38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Weitergabe von Daten in anonymisierter oder pseudonymisierter Form</w:t>
              <w:br/>
            </w:r>
            <w:r>
              <w:rPr>
                <w:rFonts w:eastAsia="Zapf Dingbats" w:cs="Arial" w:ascii="Arial" w:hAnsi="Arial"/>
                <w:b/>
                <w:bCs/>
                <w:sz w:val="20"/>
              </w:rPr>
              <w:t>=&gt; siehe Verarbeitungsverzeichnis</w:t>
            </w:r>
          </w:p>
        </w:tc>
      </w:tr>
      <w:tr>
        <w:trPr>
          <w:trHeight w:val="220" w:hRule="atLeast"/>
          <w:cantSplit w:val="true"/>
        </w:trPr>
        <w:tc>
          <w:tcPr>
            <w:tcW w:w="39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6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E-Mail-Verschlüsselung</w:t>
            </w:r>
          </w:p>
        </w:tc>
        <w:tc>
          <w:tcPr>
            <w:tcW w:w="38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Erstellen einer Übersicht von regelmäßigen Abruf- und Übermittlungsvorgängen</w:t>
              <w:br/>
            </w:r>
            <w:r>
              <w:rPr>
                <w:rFonts w:eastAsia="Zapf Dingbats" w:cs="Arial" w:ascii="Arial" w:hAnsi="Arial"/>
                <w:b/>
                <w:bCs/>
                <w:sz w:val="20"/>
              </w:rPr>
              <w:t>=&gt; siehe Verarbeitungsverzeichnis</w:t>
            </w:r>
          </w:p>
        </w:tc>
      </w:tr>
      <w:tr>
        <w:trPr>
          <w:trHeight w:val="220" w:hRule="atLeast"/>
          <w:cantSplit w:val="true"/>
        </w:trPr>
        <w:tc>
          <w:tcPr>
            <w:tcW w:w="39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6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 xml:space="preserve">Dokumentation der Empfänger von Daten und der Zeitspannen der geplanten Überlassung bzw. vereinbarter Löschfristen </w:t>
              <w:br/>
            </w:r>
            <w:r>
              <w:rPr>
                <w:rFonts w:eastAsia="Zapf Dingbats" w:cs="Arial" w:ascii="Arial" w:hAnsi="Arial"/>
                <w:b/>
                <w:bCs/>
                <w:sz w:val="20"/>
              </w:rPr>
              <w:t>=&gt; siehe Verarbeitungsverzeichnis</w:t>
            </w:r>
          </w:p>
        </w:tc>
        <w:tc>
          <w:tcPr>
            <w:tcW w:w="38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Beim physischen Transport: sichere Transportbehälter/-verpackungen</w:t>
            </w:r>
          </w:p>
        </w:tc>
      </w:tr>
      <w:tr>
        <w:trPr>
          <w:trHeight w:val="220" w:hRule="atLeast"/>
          <w:cantSplit w:val="true"/>
        </w:trPr>
        <w:tc>
          <w:tcPr>
            <w:tcW w:w="39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6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Beim physischen Transport: sorgfältige Auswahl von Transportpersonal und –fahrzeugen</w:t>
            </w:r>
          </w:p>
        </w:tc>
        <w:tc>
          <w:tcPr>
            <w:tcW w:w="38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rFonts w:ascii="Arial" w:hAnsi="Arial" w:eastAsia="Zapf Dingbats" w:cs="Arial"/>
                <w:b/>
                <w:b/>
                <w:bCs/>
                <w:sz w:val="20"/>
              </w:rPr>
            </w:pPr>
            <w:r>
              <w:rPr>
                <w:rFonts w:eastAsia="Zapf Dingbats" w:cs="Arial" w:ascii="Arial" w:hAnsi="Arial"/>
                <w:b/>
                <w:bCs/>
                <w:color w:val="000000"/>
                <w:sz w:val="20"/>
              </w:rPr>
              <w:t>X</w:t>
            </w:r>
          </w:p>
        </w:tc>
        <w:tc>
          <w:tcPr>
            <w:tcW w:w="3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Verschlüsselung der übertragenen Daten</w:t>
            </w:r>
          </w:p>
        </w:tc>
      </w:tr>
    </w:tbl>
    <w:p>
      <w:pPr>
        <w:pStyle w:val="Berschrift2"/>
        <w:numPr>
          <w:ilvl w:val="1"/>
          <w:numId w:val="4"/>
        </w:numPr>
        <w:rPr/>
      </w:pPr>
      <w:bookmarkStart w:id="674" w:name="__RefHeading___Toc31871_1491107819"/>
      <w:bookmarkStart w:id="675" w:name="_Toc511051820"/>
      <w:bookmarkStart w:id="676" w:name="_Toc5011280201"/>
      <w:bookmarkStart w:id="677" w:name="_Toc5070677071"/>
      <w:bookmarkStart w:id="678" w:name="_Toc5069784631"/>
      <w:bookmarkStart w:id="679" w:name="_Toc5063706361"/>
      <w:bookmarkStart w:id="680" w:name="_Toc5058702981"/>
      <w:bookmarkStart w:id="681" w:name="_Toc5058544001"/>
      <w:bookmarkStart w:id="682" w:name="_Toc5055857971"/>
      <w:bookmarkStart w:id="683" w:name="_Toc5052551281"/>
      <w:bookmarkStart w:id="684" w:name="_Toc5050687751"/>
      <w:bookmarkStart w:id="685" w:name="_Toc5044728391"/>
      <w:bookmarkStart w:id="686" w:name="_Toc5041559251"/>
      <w:bookmarkStart w:id="687" w:name="_Toc5039454751"/>
      <w:bookmarkStart w:id="688" w:name="_Toc5038628131"/>
      <w:bookmarkStart w:id="689" w:name="_Toc5037812501"/>
      <w:bookmarkStart w:id="690" w:name="_Toc5037809301"/>
      <w:bookmarkStart w:id="691" w:name="_Toc5032859751"/>
      <w:bookmarkStart w:id="692" w:name="_Toc5032857401"/>
      <w:bookmarkStart w:id="693" w:name="_Toc5031689671"/>
      <w:bookmarkStart w:id="694" w:name="_Toc5017155441"/>
      <w:bookmarkStart w:id="695" w:name="_Toc5015454601"/>
      <w:bookmarkStart w:id="696" w:name="_Toc5014694431"/>
      <w:bookmarkStart w:id="697" w:name="_Toc5014477031"/>
      <w:bookmarkStart w:id="698" w:name="_Toc5013693601"/>
      <w:bookmarkStart w:id="699" w:name="_Toc5013612591"/>
      <w:bookmarkStart w:id="700" w:name="_Toc5013600381"/>
      <w:bookmarkStart w:id="701" w:name="_Toc513203948"/>
      <w:bookmarkStart w:id="702" w:name="_Toc514867365"/>
      <w:bookmarkStart w:id="703" w:name="_Toc517698071"/>
      <w:bookmarkEnd w:id="674"/>
      <w:r>
        <w:rPr/>
        <w:t>Eingabekontrolle</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cs="Arial"/>
          <w:i/>
          <w:i/>
          <w:sz w:val="18"/>
          <w:szCs w:val="18"/>
        </w:rPr>
      </w:pPr>
      <w:r>
        <w:rPr>
          <w:rFonts w:cs="Arial"/>
          <w:i/>
          <w:sz w:val="18"/>
          <w:szCs w:val="18"/>
        </w:rPr>
        <w:t>Maßnahmen, die gewährleisten, dass nachträglich überprüft und festgestellt werden kann, ob und von wem personenbezogene Daten in Datenverarbeitungssysteme eingegeben, verändert oder entfernt worden sind.</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395"/>
        <w:gridCol w:w="3798"/>
        <w:gridCol w:w="396"/>
        <w:gridCol w:w="3914"/>
      </w:tblGrid>
      <w:tr>
        <w:trPr>
          <w:trHeight w:val="220" w:hRule="atLeast"/>
          <w:cantSplit w:val="true"/>
        </w:trPr>
        <w:tc>
          <w:tcPr>
            <w:tcW w:w="395"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79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Protokollierung der Eingabe, Änderung und Löschung von Daten</w:t>
              <w:br/>
            </w:r>
            <w:r>
              <w:rPr>
                <w:rFonts w:eastAsia="Zapf Dingbats" w:cs="Arial" w:ascii="Arial" w:hAnsi="Arial"/>
                <w:b/>
                <w:bCs/>
                <w:sz w:val="20"/>
              </w:rPr>
              <w:t>Einzelpraxis, daher nur Verantwortliche</w:t>
            </w:r>
          </w:p>
        </w:tc>
        <w:tc>
          <w:tcPr>
            <w:tcW w:w="39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Erstellen einer Übersicht, aus der sich ergibt, mit welchen Applikationen welche Daten eingegeben, geändert und gelöscht werden können.</w:t>
              <w:br/>
            </w:r>
            <w:r>
              <w:rPr>
                <w:rFonts w:eastAsia="Zapf Dingbats" w:cs="Arial" w:ascii="Arial" w:hAnsi="Arial"/>
                <w:b/>
                <w:bCs/>
                <w:sz w:val="20"/>
              </w:rPr>
              <w:t>=&gt; siehe Verarbeitungsverzeichnis</w:t>
            </w:r>
          </w:p>
        </w:tc>
      </w:tr>
      <w:tr>
        <w:trPr>
          <w:trHeight w:val="220" w:hRule="atLeast"/>
          <w:cantSplit w:val="true"/>
        </w:trPr>
        <w:tc>
          <w:tcPr>
            <w:tcW w:w="395"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79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Nachvollziehbarkeit von Eingabe, Änderung und Löschung von Daten durch individuelle Benutzernamen (nicht Benutzergruppen)</w:t>
              <w:br/>
            </w:r>
            <w:r>
              <w:rPr>
                <w:rFonts w:eastAsia="Zapf Dingbats" w:cs="Arial" w:ascii="Arial" w:hAnsi="Arial"/>
                <w:b/>
                <w:bCs/>
                <w:sz w:val="20"/>
              </w:rPr>
              <w:t>Einzelpraxis, daher nur Verantwortliche</w:t>
            </w:r>
          </w:p>
        </w:tc>
        <w:tc>
          <w:tcPr>
            <w:tcW w:w="39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Aufbewahrung von Formularen, von denen Daten in automatisierte Verarbeitungen übernommen worden sind</w:t>
            </w:r>
          </w:p>
        </w:tc>
      </w:tr>
      <w:tr>
        <w:trPr>
          <w:trHeight w:val="220" w:hRule="atLeast"/>
          <w:cantSplit w:val="true"/>
        </w:trPr>
        <w:tc>
          <w:tcPr>
            <w:tcW w:w="395"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79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Vergabe von Rechten zur Eingabe, Änderung und Löschung von Daten auf Basis eines Berechtigungskonzepts</w:t>
              <w:br/>
            </w:r>
            <w:r>
              <w:rPr>
                <w:rFonts w:eastAsia="Zapf Dingbats" w:cs="Arial" w:ascii="Arial" w:hAnsi="Arial"/>
                <w:b/>
                <w:bCs/>
                <w:sz w:val="20"/>
              </w:rPr>
              <w:t>Einzelpraxis, daher nur Verantwortliche</w:t>
            </w:r>
          </w:p>
        </w:tc>
        <w:tc>
          <w:tcPr>
            <w:tcW w:w="39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r>
          </w:p>
        </w:tc>
        <w:tc>
          <w:tcPr>
            <w:tcW w:w="3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r>
          </w:p>
        </w:tc>
      </w:tr>
    </w:tbl>
    <w:p>
      <w:pPr>
        <w:pStyle w:val="Berschrift2"/>
        <w:numPr>
          <w:ilvl w:val="1"/>
          <w:numId w:val="4"/>
        </w:numPr>
        <w:rPr/>
      </w:pPr>
      <w:bookmarkStart w:id="704" w:name="__RefHeading___Toc31873_1491107819"/>
      <w:bookmarkStart w:id="705" w:name="_Toc511051821"/>
      <w:bookmarkStart w:id="706" w:name="_Toc5011280211"/>
      <w:bookmarkStart w:id="707" w:name="_Toc5070677081"/>
      <w:bookmarkStart w:id="708" w:name="_Toc5069784641"/>
      <w:bookmarkStart w:id="709" w:name="_Toc5063706371"/>
      <w:bookmarkStart w:id="710" w:name="_Toc5058702991"/>
      <w:bookmarkStart w:id="711" w:name="_Toc5058544011"/>
      <w:bookmarkStart w:id="712" w:name="_Toc5055857981"/>
      <w:bookmarkStart w:id="713" w:name="_Toc5052551291"/>
      <w:bookmarkStart w:id="714" w:name="_Toc5050687761"/>
      <w:bookmarkStart w:id="715" w:name="_Toc5044728401"/>
      <w:bookmarkStart w:id="716" w:name="_Toc5041559261"/>
      <w:bookmarkStart w:id="717" w:name="_Toc5039454761"/>
      <w:bookmarkStart w:id="718" w:name="_Toc5038628141"/>
      <w:bookmarkStart w:id="719" w:name="_Toc5037812511"/>
      <w:bookmarkStart w:id="720" w:name="_Toc5037809311"/>
      <w:bookmarkStart w:id="721" w:name="_Toc5032859761"/>
      <w:bookmarkStart w:id="722" w:name="_Toc5032857411"/>
      <w:bookmarkStart w:id="723" w:name="_Toc5031689681"/>
      <w:bookmarkStart w:id="724" w:name="_Toc5017155451"/>
      <w:bookmarkStart w:id="725" w:name="_Toc5015454611"/>
      <w:bookmarkStart w:id="726" w:name="_Toc5014694441"/>
      <w:bookmarkStart w:id="727" w:name="_Toc5014477041"/>
      <w:bookmarkStart w:id="728" w:name="_Toc5013693611"/>
      <w:bookmarkStart w:id="729" w:name="_Toc5013612601"/>
      <w:bookmarkStart w:id="730" w:name="_Toc5013600391"/>
      <w:bookmarkStart w:id="731" w:name="_Toc513203949"/>
      <w:bookmarkStart w:id="732" w:name="_Toc514867366"/>
      <w:bookmarkStart w:id="733" w:name="_Toc517698072"/>
      <w:bookmarkEnd w:id="704"/>
      <w:r>
        <w:rPr/>
        <w:t>Auftragskontrolle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pPr>
      <w:r>
        <w:rPr>
          <w:rFonts w:cs="Arial"/>
          <w:i/>
          <w:sz w:val="18"/>
          <w:szCs w:val="18"/>
        </w:rPr>
        <w:t xml:space="preserve">Maßnahmen, die gewährleisten, dass personenbezogene Daten, die im Auftrag verarbeitet werden, nur entsprechend den Weisungen des Auftraggebers verarbeitet werden können. Hier kommt die </w:t>
      </w:r>
      <w:r>
        <w:rPr>
          <w:rFonts w:cs="Arial"/>
          <w:b/>
          <w:bCs/>
          <w:i/>
          <w:sz w:val="18"/>
          <w:szCs w:val="18"/>
        </w:rPr>
        <w:t>Datenverarbeitungs-Vereinbarung nach Art 28 DSGVO</w:t>
      </w:r>
      <w:r>
        <w:rPr>
          <w:rFonts w:cs="Arial"/>
          <w:i/>
          <w:sz w:val="18"/>
          <w:szCs w:val="18"/>
        </w:rPr>
        <w:t xml:space="preserve"> zum Tragen, somit alles ankreuzen, siehe Anhang</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380"/>
        <w:gridCol w:w="4093"/>
        <w:gridCol w:w="381"/>
        <w:gridCol w:w="3649"/>
      </w:tblGrid>
      <w:tr>
        <w:trPr>
          <w:trHeight w:val="220" w:hRule="atLeast"/>
          <w:cantSplit w:val="true"/>
        </w:trPr>
        <w:tc>
          <w:tcPr>
            <w:tcW w:w="38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409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pPr>
            <w:r>
              <w:rPr>
                <w:rFonts w:eastAsia="Zapf Dingbats" w:cs="Arial" w:ascii="Arial" w:hAnsi="Arial"/>
                <w:sz w:val="20"/>
              </w:rPr>
              <w:t>Auswahl des Auftragnehmers unter Sorgfaltsgesichtspunkten (insbesondere hinsichtlich Datensicherheit)</w:t>
            </w:r>
          </w:p>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color w:val="ED1C24"/>
                <w:sz w:val="20"/>
              </w:rPr>
              <w:t>Sollte eine Dokumentation gemäß DSGVO gemacht haben!</w:t>
            </w:r>
          </w:p>
        </w:tc>
        <w:tc>
          <w:tcPr>
            <w:tcW w:w="38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vorherige Prüfung der und Dokumentation der beim Auftragnehmer getroffenen Sicherheitsmaßnahmen</w:t>
            </w:r>
          </w:p>
        </w:tc>
      </w:tr>
      <w:tr>
        <w:trPr>
          <w:trHeight w:val="220" w:hRule="atLeast"/>
          <w:cantSplit w:val="true"/>
        </w:trPr>
        <w:tc>
          <w:tcPr>
            <w:tcW w:w="38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409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schriftliche Weisungen an den Auftragnehmer (z.B. durch Auftragsdatenverarbeitungsvertrag) siehe Anhang</w:t>
            </w:r>
          </w:p>
        </w:tc>
        <w:tc>
          <w:tcPr>
            <w:tcW w:w="38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Verpflichtung der Mitarbeiter des Auftragnehmers auf das Datengeheimnis</w:t>
            </w:r>
          </w:p>
        </w:tc>
      </w:tr>
      <w:tr>
        <w:trPr>
          <w:trHeight w:val="220" w:hRule="atLeast"/>
          <w:cantSplit w:val="true"/>
        </w:trPr>
        <w:tc>
          <w:tcPr>
            <w:tcW w:w="38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r>
          </w:p>
        </w:tc>
        <w:tc>
          <w:tcPr>
            <w:tcW w:w="409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Auftragnehmer hat Datenschutzbeauftragten bestellt</w:t>
            </w:r>
          </w:p>
        </w:tc>
        <w:tc>
          <w:tcPr>
            <w:tcW w:w="38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Sicherstellung der Vernichtung von Daten nach Beendigung des Auftrags</w:t>
            </w:r>
          </w:p>
        </w:tc>
      </w:tr>
      <w:tr>
        <w:trPr>
          <w:trHeight w:val="220" w:hRule="atLeast"/>
          <w:cantSplit w:val="true"/>
        </w:trPr>
        <w:tc>
          <w:tcPr>
            <w:tcW w:w="38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409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Wirksame Kontrollrechte gegenüber dem Auftragnehmer vereinbart</w:t>
            </w:r>
          </w:p>
        </w:tc>
        <w:tc>
          <w:tcPr>
            <w:tcW w:w="38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laufende Überprüfung des Auftragnehmers und seiner Tätigkeiten</w:t>
            </w:r>
          </w:p>
        </w:tc>
      </w:tr>
      <w:tr>
        <w:trPr>
          <w:trHeight w:val="220" w:hRule="atLeast"/>
          <w:cantSplit w:val="true"/>
        </w:trPr>
        <w:tc>
          <w:tcPr>
            <w:tcW w:w="38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pPr>
            <w:r>
              <w:rPr/>
              <w:t>?</w:t>
            </w:r>
          </w:p>
        </w:tc>
        <w:tc>
          <w:tcPr>
            <w:tcW w:w="409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Vertragsstrafen bei Verstößen</w:t>
            </w:r>
          </w:p>
        </w:tc>
        <w:tc>
          <w:tcPr>
            <w:tcW w:w="38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r>
          </w:p>
        </w:tc>
        <w:tc>
          <w:tcPr>
            <w:tcW w:w="3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r>
          </w:p>
        </w:tc>
      </w:tr>
    </w:tbl>
    <w:p>
      <w:pPr>
        <w:pStyle w:val="Berschrift2"/>
        <w:numPr>
          <w:ilvl w:val="1"/>
          <w:numId w:val="4"/>
        </w:numPr>
        <w:rPr/>
      </w:pPr>
      <w:bookmarkStart w:id="734" w:name="__RefHeading___Toc31875_1491107819"/>
      <w:bookmarkStart w:id="735" w:name="_Toc511051822"/>
      <w:bookmarkStart w:id="736" w:name="_Toc5011280221"/>
      <w:bookmarkStart w:id="737" w:name="_Toc5070677091"/>
      <w:bookmarkStart w:id="738" w:name="_Toc5069784651"/>
      <w:bookmarkStart w:id="739" w:name="_Toc5063706381"/>
      <w:bookmarkStart w:id="740" w:name="_Toc5058703001"/>
      <w:bookmarkStart w:id="741" w:name="_Toc5058544021"/>
      <w:bookmarkStart w:id="742" w:name="_Toc5055857991"/>
      <w:bookmarkStart w:id="743" w:name="_Toc5052551301"/>
      <w:bookmarkStart w:id="744" w:name="_Toc5050687771"/>
      <w:bookmarkStart w:id="745" w:name="_Toc5044728411"/>
      <w:bookmarkStart w:id="746" w:name="_Toc5041559271"/>
      <w:bookmarkStart w:id="747" w:name="_Toc5039454771"/>
      <w:bookmarkStart w:id="748" w:name="_Toc5038628151"/>
      <w:bookmarkStart w:id="749" w:name="_Toc5037812521"/>
      <w:bookmarkStart w:id="750" w:name="_Toc5037809321"/>
      <w:bookmarkStart w:id="751" w:name="_Toc5032859771"/>
      <w:bookmarkStart w:id="752" w:name="_Toc5032857421"/>
      <w:bookmarkStart w:id="753" w:name="_Toc5031689691"/>
      <w:bookmarkStart w:id="754" w:name="_Toc5017155461"/>
      <w:bookmarkStart w:id="755" w:name="_Toc5015454621"/>
      <w:bookmarkStart w:id="756" w:name="_Toc5014694451"/>
      <w:bookmarkStart w:id="757" w:name="_Toc5014477051"/>
      <w:bookmarkStart w:id="758" w:name="_Toc5013693621"/>
      <w:bookmarkStart w:id="759" w:name="_Toc5013612611"/>
      <w:bookmarkStart w:id="760" w:name="_Toc5013600401"/>
      <w:bookmarkStart w:id="761" w:name="_Toc513203950"/>
      <w:bookmarkStart w:id="762" w:name="_Toc514867367"/>
      <w:bookmarkStart w:id="763" w:name="_Toc517698073"/>
      <w:bookmarkEnd w:id="734"/>
      <w:r>
        <w:rPr/>
        <w:t>Verfügbarkeitskontrolle</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cs="Arial"/>
          <w:i/>
          <w:i/>
          <w:sz w:val="18"/>
          <w:szCs w:val="18"/>
        </w:rPr>
      </w:pPr>
      <w:r>
        <w:rPr>
          <w:rFonts w:cs="Arial"/>
          <w:i/>
          <w:sz w:val="18"/>
          <w:szCs w:val="18"/>
        </w:rPr>
        <w:t>Maßnahmen, die gewährleisten, dass personenbezogene Daten gegen zufällige Zerstörung oder Verlust geschützt sind.</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400"/>
        <w:gridCol w:w="3836"/>
        <w:gridCol w:w="401"/>
        <w:gridCol w:w="3866"/>
      </w:tblGrid>
      <w:tr>
        <w:trPr>
          <w:trHeight w:val="220" w:hRule="atLeast"/>
          <w:cantSplit w:val="true"/>
        </w:trPr>
        <w:tc>
          <w:tcPr>
            <w:tcW w:w="40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r>
          </w:p>
        </w:tc>
        <w:tc>
          <w:tcPr>
            <w:tcW w:w="383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Unterbrechungsfreie Stromversorgung (USV)</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Klimaanlage in Serverräumen</w:t>
            </w:r>
          </w:p>
        </w:tc>
      </w:tr>
      <w:tr>
        <w:trPr>
          <w:trHeight w:val="220" w:hRule="atLeast"/>
          <w:cantSplit w:val="true"/>
        </w:trPr>
        <w:tc>
          <w:tcPr>
            <w:tcW w:w="40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3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Geräte zur Überwachung von Temperatur und Feuchtigkeit in Serverräumen</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Schutzsteckdosenleisten in Serverräumen</w:t>
            </w:r>
          </w:p>
        </w:tc>
      </w:tr>
      <w:tr>
        <w:trPr>
          <w:trHeight w:val="220" w:hRule="atLeast"/>
          <w:cantSplit w:val="true"/>
        </w:trPr>
        <w:tc>
          <w:tcPr>
            <w:tcW w:w="40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3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Feuer- und Rauchmeldeanlagen</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Feuerlöschgeräte (in Serverräumen)</w:t>
            </w:r>
          </w:p>
        </w:tc>
      </w:tr>
      <w:tr>
        <w:trPr>
          <w:trHeight w:val="220" w:hRule="atLeast"/>
          <w:cantSplit w:val="true"/>
        </w:trPr>
        <w:tc>
          <w:tcPr>
            <w:tcW w:w="40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color w:val="000000"/>
              </w:rPr>
            </w:r>
          </w:p>
        </w:tc>
        <w:tc>
          <w:tcPr>
            <w:tcW w:w="383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Alarmmeldung bei unberechtigten Zutritten zu Serverräumen</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Erstellen eines Backup- &amp; Recoverykonzepts</w:t>
            </w:r>
          </w:p>
        </w:tc>
      </w:tr>
      <w:tr>
        <w:trPr>
          <w:trHeight w:val="220" w:hRule="atLeast"/>
          <w:cantSplit w:val="true"/>
        </w:trPr>
        <w:tc>
          <w:tcPr>
            <w:tcW w:w="40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3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Testen von Datenwiederherstellung</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color w:val="000000"/>
              </w:rPr>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Erstellen eines Notfallplans</w:t>
            </w:r>
          </w:p>
        </w:tc>
      </w:tr>
      <w:tr>
        <w:trPr>
          <w:trHeight w:val="220" w:hRule="atLeast"/>
          <w:cantSplit w:val="true"/>
        </w:trPr>
        <w:tc>
          <w:tcPr>
            <w:tcW w:w="40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3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Aufbewahrung von Datensicherung an einem sicheren, ausgelagerten Ort</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color w:val="000000"/>
              </w:rPr>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Serverräume nicht unter sanitären Anlagen</w:t>
            </w:r>
          </w:p>
        </w:tc>
      </w:tr>
      <w:tr>
        <w:trPr>
          <w:trHeight w:val="220" w:hRule="atLeast"/>
          <w:cantSplit w:val="true"/>
        </w:trPr>
        <w:tc>
          <w:tcPr>
            <w:tcW w:w="40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3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In Hochwassergebieten: Serverräume über der Wassergrenze</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r>
          </w:p>
        </w:tc>
      </w:tr>
    </w:tbl>
    <w:p>
      <w:pPr>
        <w:pStyle w:val="Berschrift2"/>
        <w:numPr>
          <w:ilvl w:val="1"/>
          <w:numId w:val="4"/>
        </w:numPr>
        <w:rPr/>
      </w:pPr>
      <w:bookmarkStart w:id="764" w:name="__RefHeading___Toc31877_1491107819"/>
      <w:bookmarkStart w:id="765" w:name="_Toc511051823"/>
      <w:bookmarkStart w:id="766" w:name="_Toc5011280231"/>
      <w:bookmarkStart w:id="767" w:name="_Toc5070677101"/>
      <w:bookmarkStart w:id="768" w:name="_Toc5069784661"/>
      <w:bookmarkStart w:id="769" w:name="_Toc5063706391"/>
      <w:bookmarkStart w:id="770" w:name="_Toc5058703011"/>
      <w:bookmarkStart w:id="771" w:name="_Toc5058544031"/>
      <w:bookmarkStart w:id="772" w:name="_Toc5055858001"/>
      <w:bookmarkStart w:id="773" w:name="_Toc5052551311"/>
      <w:bookmarkStart w:id="774" w:name="_Toc5050687781"/>
      <w:bookmarkStart w:id="775" w:name="_Toc5044728421"/>
      <w:bookmarkStart w:id="776" w:name="_Toc5041559281"/>
      <w:bookmarkStart w:id="777" w:name="_Toc5039454781"/>
      <w:bookmarkStart w:id="778" w:name="_Toc5038628161"/>
      <w:bookmarkStart w:id="779" w:name="_Toc5037812531"/>
      <w:bookmarkStart w:id="780" w:name="_Toc5037809331"/>
      <w:bookmarkStart w:id="781" w:name="_Toc5032859781"/>
      <w:bookmarkStart w:id="782" w:name="_Toc5032857431"/>
      <w:bookmarkStart w:id="783" w:name="_Toc5031689701"/>
      <w:bookmarkStart w:id="784" w:name="_Toc5017155471"/>
      <w:bookmarkStart w:id="785" w:name="_Toc5015454631"/>
      <w:bookmarkStart w:id="786" w:name="_Toc5014694461"/>
      <w:bookmarkStart w:id="787" w:name="_Toc5014477061"/>
      <w:bookmarkStart w:id="788" w:name="_Toc5013693631"/>
      <w:bookmarkStart w:id="789" w:name="_Toc5013612621"/>
      <w:bookmarkStart w:id="790" w:name="_Toc5013600411"/>
      <w:bookmarkStart w:id="791" w:name="_Toc513203951"/>
      <w:bookmarkStart w:id="792" w:name="_Toc514867368"/>
      <w:bookmarkStart w:id="793" w:name="_Toc517698074"/>
      <w:bookmarkEnd w:id="764"/>
      <w:r>
        <w:rPr/>
        <w:t>Trennungsgebot</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cs="Arial"/>
          <w:i/>
          <w:i/>
          <w:sz w:val="18"/>
          <w:szCs w:val="18"/>
        </w:rPr>
      </w:pPr>
      <w:r>
        <w:rPr>
          <w:rFonts w:cs="Arial"/>
          <w:i/>
          <w:sz w:val="18"/>
          <w:szCs w:val="18"/>
        </w:rPr>
        <w:t>Maßnahmen, die gewährleisten, dass zu unterschiedlichen Zwecken erhobene Daten getrennt verarbeitet werden können.</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383"/>
        <w:gridCol w:w="3907"/>
        <w:gridCol w:w="387"/>
        <w:gridCol w:w="3826"/>
      </w:tblGrid>
      <w:tr>
        <w:trPr>
          <w:trHeight w:val="220" w:hRule="atLeast"/>
          <w:cantSplit w:val="true"/>
        </w:trPr>
        <w:tc>
          <w:tcPr>
            <w:tcW w:w="38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90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physikalisch getrennte Speicherung auf gesonderten Systemen oder Datenträgern</w:t>
            </w:r>
          </w:p>
        </w:tc>
        <w:tc>
          <w:tcPr>
            <w:tcW w:w="3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Logische Mandantentrennung (softwareseitig)</w:t>
            </w:r>
          </w:p>
        </w:tc>
      </w:tr>
      <w:tr>
        <w:trPr>
          <w:trHeight w:val="220" w:hRule="atLeast"/>
          <w:cantSplit w:val="true"/>
        </w:trPr>
        <w:tc>
          <w:tcPr>
            <w:tcW w:w="38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90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Erstellung eines Berechtigungskonzepts</w:t>
              <w:br/>
            </w:r>
            <w:r>
              <w:rPr>
                <w:rFonts w:eastAsia="Zapf Dingbats" w:cs="Arial" w:ascii="Arial" w:hAnsi="Arial"/>
                <w:b/>
                <w:bCs/>
                <w:sz w:val="20"/>
              </w:rPr>
              <w:t>Einzelpraxis, daher Verantwortliche</w:t>
            </w:r>
          </w:p>
        </w:tc>
        <w:tc>
          <w:tcPr>
            <w:tcW w:w="3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ED1C24"/>
              </w:rPr>
              <w:t>X</w:t>
            </w:r>
          </w:p>
        </w:tc>
        <w:tc>
          <w:tcPr>
            <w:tcW w:w="3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Verschlüsselung von Datensätzen, die zu demselben Zweck verarbeitet werden</w:t>
            </w:r>
          </w:p>
        </w:tc>
      </w:tr>
      <w:tr>
        <w:trPr>
          <w:trHeight w:val="220" w:hRule="atLeast"/>
          <w:cantSplit w:val="true"/>
        </w:trPr>
        <w:tc>
          <w:tcPr>
            <w:tcW w:w="38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90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Versehen der Datensätze mit Zweckattributen/Datenfeldern</w:t>
              <w:br/>
            </w:r>
            <w:r>
              <w:rPr>
                <w:rFonts w:eastAsia="Zapf Dingbats" w:cs="Arial" w:ascii="Arial" w:hAnsi="Arial"/>
                <w:b/>
                <w:bCs/>
                <w:sz w:val="20"/>
              </w:rPr>
              <w:t>=&gt; siehe Verarbeitungsverzeichnis</w:t>
            </w:r>
          </w:p>
        </w:tc>
        <w:tc>
          <w:tcPr>
            <w:tcW w:w="3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Bei pseudonymisierten Daten: Trennung der Zuordnungsdatei und der Aufbewahrung auf einem getrennten, abgesicherten IT-System</w:t>
              <w:br/>
            </w:r>
            <w:r>
              <w:rPr>
                <w:rFonts w:eastAsia="Zapf Dingbats" w:cs="Arial" w:ascii="Arial" w:hAnsi="Arial"/>
                <w:b/>
                <w:bCs/>
                <w:sz w:val="20"/>
              </w:rPr>
              <w:t>=&gt; siehe Verarbeitungsverzeichnis</w:t>
            </w:r>
          </w:p>
        </w:tc>
      </w:tr>
      <w:tr>
        <w:trPr>
          <w:trHeight w:val="220" w:hRule="atLeast"/>
          <w:cantSplit w:val="true"/>
        </w:trPr>
        <w:tc>
          <w:tcPr>
            <w:tcW w:w="38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90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Festlegung von Datenbankrechten</w:t>
              <w:br/>
            </w:r>
            <w:r>
              <w:rPr>
                <w:rFonts w:eastAsia="Zapf Dingbats" w:cs="Arial" w:ascii="Arial" w:hAnsi="Arial"/>
                <w:b/>
                <w:bCs/>
                <w:sz w:val="20"/>
              </w:rPr>
              <w:t>Einzelpraxis, daher Verantwortliche</w:t>
            </w:r>
          </w:p>
        </w:tc>
        <w:tc>
          <w:tcPr>
            <w:tcW w:w="3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Trennung von Produktiv- und Testsystem</w:t>
            </w:r>
          </w:p>
        </w:tc>
      </w:tr>
    </w:tbl>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eastAsia="Times New Roman" w:cs="Arial"/>
          <w:color w:val="00000A"/>
          <w:sz w:val="20"/>
        </w:rPr>
      </w:pPr>
      <w:r>
        <w:rPr>
          <w:rFonts w:eastAsia="Times New Roman" w:cs="Arial" w:ascii="Arial" w:hAnsi="Arial"/>
          <w:color w:val="00000A"/>
          <w:sz w:val="20"/>
        </w:rPr>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spacing w:before="0" w:after="0"/>
        <w:textAlignment w:val="auto"/>
        <w:rPr>
          <w:rFonts w:ascii="Arial" w:hAnsi="Arial" w:eastAsia="Times New Roman" w:cs="Arial"/>
          <w:sz w:val="20"/>
        </w:rPr>
      </w:pPr>
      <w:bookmarkStart w:id="794" w:name="__RefHeading___Toc24369_2257849036"/>
      <w:bookmarkEnd w:id="794"/>
      <w:r>
        <w:rPr>
          <w:rFonts w:eastAsia="Times New Roman" w:cs="Arial" w:ascii="Arial" w:hAnsi="Arial"/>
          <w:sz w:val="18"/>
        </w:rPr>
        <w:t xml:space="preserve">Quelle unter anderem: </w:t>
      </w:r>
      <w:hyperlink r:id="rId7">
        <w:r>
          <w:rPr>
            <w:rStyle w:val="ListLabel148"/>
            <w:rFonts w:eastAsia="Calibri"/>
          </w:rPr>
          <w:t>https://www.datenschutz-guru.de/files/</w:t>
        </w:r>
      </w:hyperlink>
      <w:hyperlink r:id="rId8">
        <w:r>
          <w:rPr>
            <w:rStyle w:val="ListLabel149"/>
            <w:rFonts w:eastAsia="Calibri"/>
          </w:rPr>
          <w:t>Ausfuellhilfe_TOM_9_BDSG_V2</w:t>
        </w:r>
      </w:hyperlink>
      <w:hyperlink r:id="rId9">
        <w:r>
          <w:rPr>
            <w:rStyle w:val="ListLabel148"/>
            <w:rFonts w:eastAsia="Calibri"/>
          </w:rPr>
          <w:t>.docx</w:t>
        </w:r>
      </w:hyperlink>
    </w:p>
    <w:p>
      <w:pPr>
        <w:pStyle w:val="Berschrift2"/>
        <w:numPr>
          <w:ilvl w:val="1"/>
          <w:numId w:val="4"/>
        </w:numPr>
        <w:rPr/>
      </w:pPr>
      <w:bookmarkStart w:id="795" w:name="__RefHeading___Toc31879_1491107819"/>
      <w:bookmarkStart w:id="796" w:name="_Toc511051824"/>
      <w:bookmarkStart w:id="797" w:name="_Toc504155893"/>
      <w:bookmarkStart w:id="798" w:name="_Toc503945443"/>
      <w:bookmarkStart w:id="799" w:name="_Toc503862781"/>
      <w:bookmarkStart w:id="800" w:name="_Toc503781218"/>
      <w:bookmarkStart w:id="801" w:name="_Toc503285935"/>
      <w:bookmarkStart w:id="802" w:name="_Toc503285700"/>
      <w:bookmarkStart w:id="803" w:name="_Toc503168926"/>
      <w:bookmarkStart w:id="804" w:name="_Toc501715503"/>
      <w:bookmarkStart w:id="805" w:name="_Toc501545419"/>
      <w:bookmarkStart w:id="806" w:name="_Toc501469405"/>
      <w:bookmarkStart w:id="807" w:name="_Toc501447666"/>
      <w:bookmarkStart w:id="808" w:name="_Toc501369323"/>
      <w:bookmarkStart w:id="809" w:name="_Toc501361222"/>
      <w:bookmarkStart w:id="810" w:name="_Toc501360002"/>
      <w:bookmarkStart w:id="811" w:name="_Toc501127986"/>
      <w:bookmarkStart w:id="812" w:name="_Toc507067668"/>
      <w:bookmarkStart w:id="813" w:name="_Toc505870260"/>
      <w:bookmarkStart w:id="814" w:name="_Toc505854363"/>
      <w:bookmarkStart w:id="815" w:name="_Toc505585760"/>
      <w:bookmarkStart w:id="816" w:name="_Toc505255091"/>
      <w:bookmarkStart w:id="817" w:name="_Toc505068742"/>
      <w:bookmarkStart w:id="818" w:name="_Toc504472807"/>
      <w:bookmarkStart w:id="819" w:name="_Toc513203952"/>
      <w:bookmarkStart w:id="820" w:name="_Toc514867369"/>
      <w:bookmarkStart w:id="821" w:name="_Toc517698075"/>
      <w:bookmarkEnd w:id="795"/>
      <w:r>
        <w:rPr/>
        <w:t>Verfahren zur regelmäßigen Überprüfung, Bewertung und Evaluierung</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Normal"/>
        <w:ind w:left="720" w:hanging="0"/>
        <w:rPr/>
      </w:pPr>
      <w:r>
        <w:rPr/>
        <w:t>Risikoanalyse</w:t>
      </w:r>
    </w:p>
    <w:p>
      <w:pPr>
        <w:pStyle w:val="Normal"/>
        <w:ind w:left="720" w:hanging="0"/>
        <w:rPr/>
      </w:pPr>
      <w:r>
        <w:rPr/>
        <w:t>Datenschutzfreundliche Voreinstellungen</w:t>
      </w:r>
    </w:p>
    <w:p>
      <w:pPr>
        <w:pStyle w:val="Normal"/>
        <w:ind w:left="720" w:hanging="0"/>
        <w:rPr/>
      </w:pPr>
      <w:r>
        <w:rPr/>
        <w:t>Weiterbildung siehe Schulung</w:t>
      </w:r>
    </w:p>
    <w:p>
      <w:pPr>
        <w:pStyle w:val="Berschrift3"/>
        <w:numPr>
          <w:ilvl w:val="2"/>
          <w:numId w:val="4"/>
        </w:numPr>
        <w:rPr>
          <w:rFonts w:eastAsia="Calibri"/>
        </w:rPr>
      </w:pPr>
      <w:r>
        <w:rPr>
          <w:rFonts w:eastAsia="Calibri"/>
        </w:rPr>
        <w:t xml:space="preserve">Auftragskontrolle: </w:t>
      </w:r>
    </w:p>
    <w:p>
      <w:pPr>
        <w:pStyle w:val="Normal"/>
        <w:rPr/>
      </w:pPr>
      <w:r>
        <w:rPr/>
        <w:t>Keine Auftragsdatenverarbeitung im Sinne von Art 28 DSGVO ohne entsprechende Weisung des Auftraggebers, z.B.: eindeutige Vertragsgestaltung, formalisiertes Auftragsmanagement, strenge Auswahl des Auftragsverarbeiters, sichere und verschlüsselte Speicherung und Übertragung, ( zB. Ob Datenschutzbeauftragter und/oder Dokumentation nach DSGVO vorhanden, Vorabüberzeugungspflicht, Nachkontrollen) siehe Punkt 3. oben</w:t>
      </w:r>
    </w:p>
    <w:p>
      <w:pPr>
        <w:pStyle w:val="Berschrift3"/>
        <w:keepLines/>
        <w:widowControl/>
        <w:numPr>
          <w:ilvl w:val="0"/>
          <w:numId w:val="0"/>
        </w:numPr>
        <w:jc w:val="left"/>
        <w:textAlignment w:val="baseline"/>
        <w:outlineLvl w:val="2"/>
        <w:rPr>
          <w:rFonts w:eastAsia="Calibri"/>
        </w:rPr>
      </w:pPr>
      <w:r>
        <w:rPr>
          <w:rFonts w:eastAsia="Calibri"/>
        </w:rPr>
      </w:r>
      <w:r>
        <w:br w:type="page"/>
      </w:r>
    </w:p>
    <w:p>
      <w:pPr>
        <w:pStyle w:val="Berschrift3"/>
        <w:numPr>
          <w:ilvl w:val="2"/>
          <w:numId w:val="4"/>
        </w:numPr>
        <w:rPr/>
      </w:pPr>
      <w:r>
        <w:rPr>
          <w:rFonts w:eastAsia="Calibri"/>
        </w:rPr>
        <w:t>Ein Kontroll- und Verbesserungsprozess wir mindestens 1x jährlich durchgeführt:</w:t>
      </w:r>
    </w:p>
    <w:p>
      <w:pPr>
        <w:pStyle w:val="Normal"/>
        <w:jc w:val="both"/>
        <w:rPr>
          <w:rFonts w:cs="Calibri"/>
        </w:rPr>
      </w:pPr>
      <w:r>
        <w:rPr>
          <w:rFonts w:cs="Calibri"/>
        </w:rPr>
      </w:r>
    </w:p>
    <w:tbl>
      <w:tblPr>
        <w:tblW w:w="850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239"/>
        <w:gridCol w:w="7265"/>
      </w:tblGrid>
      <w:tr>
        <w:trPr/>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Jahr</w:t>
            </w:r>
          </w:p>
        </w:tc>
        <w:tc>
          <w:tcPr>
            <w:tcW w:w="7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160"/>
              <w:jc w:val="center"/>
              <w:rPr/>
            </w:pPr>
            <w:r>
              <w:rPr/>
              <w:t>Ergebnisse der Überprüfung, Bewertung und Evaluierung</w:t>
            </w:r>
          </w:p>
        </w:tc>
      </w:tr>
      <w:tr>
        <w:trPr/>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2019</w:t>
            </w:r>
          </w:p>
        </w:tc>
        <w:tc>
          <w:tcPr>
            <w:tcW w:w="7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both"/>
              <w:rPr>
                <w:rFonts w:eastAsia="Times New Roman" w:cs="Calibri"/>
                <w:color w:val="000000"/>
                <w:szCs w:val="18"/>
                <w:lang w:eastAsia="de-AT"/>
              </w:rPr>
            </w:pPr>
            <w:r>
              <w:rPr>
                <w:rFonts w:eastAsia="Times New Roman" w:cs="Calibri"/>
                <w:color w:val="000000"/>
                <w:szCs w:val="18"/>
                <w:lang w:eastAsia="de-AT"/>
              </w:rPr>
            </w:r>
          </w:p>
        </w:tc>
      </w:tr>
      <w:tr>
        <w:trPr/>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2020</w:t>
            </w:r>
          </w:p>
        </w:tc>
        <w:tc>
          <w:tcPr>
            <w:tcW w:w="7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both"/>
              <w:rPr>
                <w:rFonts w:eastAsia="Times New Roman" w:cs="Calibri"/>
                <w:color w:val="000000"/>
                <w:szCs w:val="18"/>
                <w:lang w:eastAsia="de-AT"/>
              </w:rPr>
            </w:pPr>
            <w:r>
              <w:rPr>
                <w:rFonts w:eastAsia="Times New Roman" w:cs="Calibri"/>
                <w:color w:val="000000"/>
                <w:szCs w:val="18"/>
                <w:lang w:eastAsia="de-AT"/>
              </w:rPr>
            </w:r>
          </w:p>
        </w:tc>
      </w:tr>
    </w:tbl>
    <w:p>
      <w:pPr>
        <w:pStyle w:val="Normal"/>
        <w:numPr>
          <w:ilvl w:val="0"/>
          <w:numId w:val="0"/>
        </w:numPr>
        <w:spacing w:before="0" w:after="0"/>
        <w:textAlignment w:val="auto"/>
        <w:outlineLvl w:val="0"/>
        <w:rPr>
          <w:rFonts w:eastAsia="Times New Roman" w:cs="Calibri"/>
          <w:lang w:eastAsia="de-AT"/>
        </w:rPr>
      </w:pPr>
      <w:r>
        <w:rPr>
          <w:rFonts w:eastAsia="Times New Roman" w:cs="Calibri"/>
          <w:lang w:eastAsia="de-AT"/>
        </w:rPr>
      </w:r>
      <w:bookmarkStart w:id="822" w:name="__RefHeading___Toc24008_2257849036"/>
      <w:bookmarkStart w:id="823" w:name="__RefHeading___Toc24008_2257849036"/>
      <w:bookmarkEnd w:id="823"/>
    </w:p>
    <w:p>
      <w:pPr>
        <w:pStyle w:val="Normal"/>
        <w:spacing w:before="0" w:after="0"/>
        <w:textAlignment w:val="auto"/>
        <w:rPr/>
      </w:pPr>
      <w:bookmarkStart w:id="824" w:name="_Toc513203953"/>
      <w:r>
        <w:rPr>
          <w:rFonts w:eastAsia="Times New Roman" w:cs="Calibri"/>
          <w:lang w:eastAsia="de-AT"/>
        </w:rPr>
        <w:t>Referenzen: Art 32 Z 1 DSGVO</w:t>
      </w:r>
      <w:bookmarkStart w:id="825" w:name="_Toc501127987"/>
      <w:bookmarkStart w:id="826" w:name="_Toc501360003"/>
      <w:bookmarkStart w:id="827" w:name="_Toc501361223"/>
      <w:bookmarkStart w:id="828" w:name="_Toc501369324"/>
      <w:bookmarkStart w:id="829" w:name="_Toc501447667"/>
      <w:bookmarkStart w:id="830" w:name="_Toc501469406"/>
      <w:bookmarkEnd w:id="824"/>
    </w:p>
    <w:p>
      <w:pPr>
        <w:pStyle w:val="Berschrift1"/>
        <w:numPr>
          <w:ilvl w:val="0"/>
          <w:numId w:val="4"/>
        </w:numPr>
        <w:rPr/>
      </w:pPr>
      <w:bookmarkStart w:id="831" w:name="__RefHeading___Toc31881_1491107819"/>
      <w:bookmarkStart w:id="832" w:name="_Toc511051825"/>
      <w:bookmarkStart w:id="833" w:name="_Toc501545420"/>
      <w:bookmarkStart w:id="834" w:name="_Toc505870261"/>
      <w:bookmarkStart w:id="835" w:name="_Toc505854364"/>
      <w:bookmarkStart w:id="836" w:name="_Toc505585761"/>
      <w:bookmarkStart w:id="837" w:name="_Toc505255092"/>
      <w:bookmarkStart w:id="838" w:name="_Toc505068743"/>
      <w:bookmarkStart w:id="839" w:name="_Toc504472808"/>
      <w:bookmarkStart w:id="840" w:name="_Toc504155894"/>
      <w:bookmarkStart w:id="841" w:name="_Toc503945444"/>
      <w:bookmarkStart w:id="842" w:name="_Toc503862782"/>
      <w:bookmarkStart w:id="843" w:name="_Toc503781219"/>
      <w:bookmarkStart w:id="844" w:name="_Toc503285936"/>
      <w:bookmarkStart w:id="845" w:name="_Toc503285701"/>
      <w:bookmarkStart w:id="846" w:name="_Toc503168927"/>
      <w:bookmarkStart w:id="847" w:name="_Toc501715504"/>
      <w:bookmarkStart w:id="848" w:name="_Toc513203954"/>
      <w:bookmarkStart w:id="849" w:name="_Toc514867370"/>
      <w:bookmarkStart w:id="850" w:name="_Toc517698076"/>
      <w:bookmarkStart w:id="851" w:name="_Toc507067669"/>
      <w:bookmarkEnd w:id="826"/>
      <w:bookmarkEnd w:id="827"/>
      <w:bookmarkEnd w:id="828"/>
      <w:bookmarkEnd w:id="829"/>
      <w:bookmarkEnd w:id="830"/>
      <w:bookmarkEnd w:id="831"/>
      <w:r>
        <w:rPr/>
        <w:t>Betroffenenrechte</w:t>
      </w:r>
      <w:bookmarkEnd w:id="825"/>
      <w:r>
        <w:rPr/>
        <w:t xml:space="preserve"> wahren</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Normal"/>
        <w:rPr/>
      </w:pPr>
      <w:r>
        <w:rPr/>
        <w:t xml:space="preserve">Gemäß der DSGVO hat jeder Betroffene folgende Rechte, </w:t>
      </w:r>
      <w:r>
        <w:rPr>
          <w:rFonts w:eastAsia="Times New Roman"/>
          <w:sz w:val="21"/>
          <w:szCs w:val="21"/>
          <w:lang w:eastAsia="de-AT"/>
        </w:rPr>
        <w:t xml:space="preserve">soweit diese das Vertrauensverhältnis zwischen Klienten und mir als nicht gefährden (§ 16a. (2) Psychotherapiegesetz </w:t>
      </w:r>
      <w:r>
        <w:rPr>
          <w:rFonts w:eastAsia="Times New Roman"/>
          <w:color w:val="000000"/>
          <w:sz w:val="21"/>
          <w:szCs w:val="21"/>
          <w:lang w:eastAsia="de-AT"/>
        </w:rPr>
        <w:t xml:space="preserve"> </w:t>
      </w:r>
      <w:r>
        <w:rPr>
          <w:rFonts w:eastAsia="Times New Roman"/>
          <w:sz w:val="21"/>
          <w:szCs w:val="21"/>
          <w:lang w:eastAsia="de-AT"/>
        </w:rPr>
        <w:t>1990):</w:t>
      </w:r>
    </w:p>
    <w:p>
      <w:pPr>
        <w:pStyle w:val="Normal"/>
        <w:numPr>
          <w:ilvl w:val="0"/>
          <w:numId w:val="15"/>
        </w:numPr>
        <w:rPr>
          <w:color w:val="000000"/>
        </w:rPr>
      </w:pPr>
      <w:r>
        <w:rPr>
          <w:rFonts w:cs="Calibri"/>
          <w:color w:val="000000"/>
        </w:rPr>
        <w:t xml:space="preserve">Recht auf Auskunft (Art 15 DSGVO) nur in Verbindung mit </w:t>
        <w:br/>
        <w:t xml:space="preserve">Recht auf Einsicht in die Dokumentation (§16a. (1) Psychotherapiegesetz </w:t>
      </w:r>
      <w:r>
        <w:rPr>
          <w:rFonts w:cs="Calibri"/>
          <w:color w:val="000000"/>
          <w:sz w:val="21"/>
          <w:szCs w:val="21"/>
          <w:lang w:eastAsia="de-AT"/>
        </w:rPr>
        <w:t xml:space="preserve"> 1990)</w:t>
      </w:r>
    </w:p>
    <w:p>
      <w:pPr>
        <w:pStyle w:val="Normal"/>
        <w:numPr>
          <w:ilvl w:val="0"/>
          <w:numId w:val="5"/>
        </w:numPr>
        <w:rPr>
          <w:rFonts w:cs="Calibri"/>
        </w:rPr>
      </w:pPr>
      <w:r>
        <w:rPr>
          <w:rFonts w:cs="Calibri"/>
        </w:rPr>
        <w:t>Recht auf Berichtigung (Art 16 DSGVO)</w:t>
      </w:r>
    </w:p>
    <w:p>
      <w:pPr>
        <w:pStyle w:val="Normal"/>
        <w:numPr>
          <w:ilvl w:val="0"/>
          <w:numId w:val="5"/>
        </w:numPr>
        <w:rPr>
          <w:rFonts w:cs="Calibri"/>
        </w:rPr>
      </w:pPr>
      <w:r>
        <w:rPr>
          <w:rFonts w:cs="Calibri"/>
        </w:rPr>
        <w:t>Recht auf Löschung (Art 17 DSGVO )</w:t>
      </w:r>
    </w:p>
    <w:p>
      <w:pPr>
        <w:pStyle w:val="Normal"/>
        <w:numPr>
          <w:ilvl w:val="0"/>
          <w:numId w:val="5"/>
        </w:numPr>
        <w:rPr>
          <w:rFonts w:cs="Calibri"/>
        </w:rPr>
      </w:pPr>
      <w:r>
        <w:rPr>
          <w:rFonts w:cs="Calibri"/>
        </w:rPr>
        <w:t>Recht auf Einschränkung (Art 18 DSGVO)</w:t>
      </w:r>
    </w:p>
    <w:p>
      <w:pPr>
        <w:pStyle w:val="Normal"/>
        <w:numPr>
          <w:ilvl w:val="0"/>
          <w:numId w:val="5"/>
        </w:numPr>
        <w:rPr>
          <w:rFonts w:cs="Calibri"/>
        </w:rPr>
      </w:pPr>
      <w:r>
        <w:rPr>
          <w:rFonts w:cs="Calibri"/>
        </w:rPr>
        <w:t>Recht auf Übertragbarkeit (Art 20 DSGVO)</w:t>
      </w:r>
    </w:p>
    <w:p>
      <w:pPr>
        <w:pStyle w:val="Normal"/>
        <w:numPr>
          <w:ilvl w:val="0"/>
          <w:numId w:val="5"/>
        </w:numPr>
        <w:rPr>
          <w:rFonts w:cs="Calibri"/>
        </w:rPr>
      </w:pPr>
      <w:r>
        <w:rPr>
          <w:rFonts w:cs="Calibri"/>
        </w:rPr>
        <w:t>Recht auf Widerspruch (Art 21 DSGVO)</w:t>
      </w:r>
    </w:p>
    <w:p>
      <w:pPr>
        <w:pStyle w:val="Normal"/>
        <w:numPr>
          <w:ilvl w:val="0"/>
          <w:numId w:val="5"/>
        </w:numPr>
        <w:rPr/>
      </w:pPr>
      <w:r>
        <w:rPr>
          <w:rFonts w:cs="Calibri"/>
        </w:rPr>
        <w:t xml:space="preserve">Recht auf Beschwerde bei der </w:t>
      </w:r>
      <w:r>
        <w:fldChar w:fldCharType="begin"/>
      </w:r>
      <w:r>
        <w:rPr>
          <w:rStyle w:val="ListLabel150"/>
        </w:rPr>
        <w:instrText> HYPERLINK "https://www.dsb.gv.at/rechte-der-betroffenen" \l "Zustaendigkeit_der_Datenschutzbehoerde"</w:instrText>
      </w:r>
      <w:r>
        <w:rPr>
          <w:rStyle w:val="ListLabel150"/>
        </w:rPr>
        <w:fldChar w:fldCharType="separate"/>
      </w:r>
      <w:r>
        <w:rPr>
          <w:rStyle w:val="ListLabel150"/>
        </w:rPr>
        <w:t>Datenschutzbehörde</w:t>
      </w:r>
      <w:r>
        <w:rPr>
          <w:rStyle w:val="ListLabel150"/>
        </w:rPr>
        <w:fldChar w:fldCharType="end"/>
      </w:r>
    </w:p>
    <w:p>
      <w:pPr>
        <w:pStyle w:val="Textkrper"/>
        <w:rPr/>
      </w:pPr>
      <w:r>
        <w:rPr/>
      </w:r>
    </w:p>
    <w:p>
      <w:pPr>
        <w:pStyle w:val="Berschrift1"/>
        <w:numPr>
          <w:ilvl w:val="1"/>
          <w:numId w:val="4"/>
        </w:numPr>
        <w:rPr/>
      </w:pPr>
      <w:r>
        <w:rPr/>
        <w:t xml:space="preserve">   </w:t>
      </w:r>
      <w:bookmarkStart w:id="852" w:name="_Toc511051826"/>
      <w:bookmarkStart w:id="853" w:name="_Toc501360004"/>
      <w:bookmarkStart w:id="854" w:name="_Toc507067670"/>
      <w:bookmarkStart w:id="855" w:name="_Toc505870262"/>
      <w:bookmarkStart w:id="856" w:name="_Toc505854365"/>
      <w:bookmarkStart w:id="857" w:name="_Toc505585762"/>
      <w:bookmarkStart w:id="858" w:name="_Toc505255093"/>
      <w:bookmarkStart w:id="859" w:name="_Toc505068744"/>
      <w:bookmarkStart w:id="860" w:name="_Toc504472809"/>
      <w:bookmarkStart w:id="861" w:name="_Toc504155895"/>
      <w:bookmarkStart w:id="862" w:name="_Toc503945445"/>
      <w:bookmarkStart w:id="863" w:name="_Toc503862783"/>
      <w:bookmarkStart w:id="864" w:name="_Toc503781220"/>
      <w:bookmarkStart w:id="865" w:name="_Toc503285937"/>
      <w:bookmarkStart w:id="866" w:name="_Toc503285702"/>
      <w:bookmarkStart w:id="867" w:name="_Toc503168928"/>
      <w:bookmarkStart w:id="868" w:name="_Toc501715505"/>
      <w:bookmarkStart w:id="869" w:name="_Toc501545421"/>
      <w:bookmarkStart w:id="870" w:name="_Toc501469407"/>
      <w:bookmarkStart w:id="871" w:name="_Toc501447668"/>
      <w:bookmarkStart w:id="872" w:name="_Toc501369325"/>
      <w:bookmarkStart w:id="873" w:name="_Toc501361224"/>
      <w:bookmarkStart w:id="874" w:name="_Toc513203955"/>
      <w:bookmarkStart w:id="875" w:name="_Toc514867371"/>
      <w:bookmarkStart w:id="876" w:name="_Toc517698077"/>
      <w:r>
        <w:rPr>
          <w:b/>
          <w:bCs/>
        </w:rPr>
        <w:t>Prozesse betreffs Betroffenenrechte</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color w:val="000000"/>
          <w:shd w:fill="FFF200" w:val="clear"/>
          <w:lang w:eastAsia="de-AT"/>
        </w:rPr>
        <w:br/>
      </w:r>
    </w:p>
    <w:p>
      <w:pPr>
        <w:pStyle w:val="Berschrift3"/>
        <w:numPr>
          <w:ilvl w:val="2"/>
          <w:numId w:val="4"/>
        </w:numPr>
        <w:rPr/>
      </w:pPr>
      <w:r>
        <w:rPr/>
        <w:t>Recht auf Auskunft</w:t>
      </w:r>
    </w:p>
    <w:p>
      <w:pPr>
        <w:pStyle w:val="Normal"/>
        <w:tabs>
          <w:tab w:val="left" w:pos="426" w:leader="none"/>
        </w:tabs>
        <w:rPr>
          <w:sz w:val="22"/>
          <w:szCs w:val="22"/>
        </w:rPr>
      </w:pPr>
      <w:r>
        <w:rPr>
          <w:sz w:val="22"/>
          <w:szCs w:val="22"/>
        </w:rPr>
      </w:r>
    </w:p>
    <w:p>
      <w:pPr>
        <w:pStyle w:val="Normal"/>
        <w:tabs>
          <w:tab w:val="left" w:pos="426" w:leader="none"/>
        </w:tabs>
        <w:rPr>
          <w:sz w:val="22"/>
          <w:szCs w:val="22"/>
        </w:rPr>
      </w:pPr>
      <w:r>
        <w:rPr>
          <w:sz w:val="22"/>
          <w:szCs w:val="22"/>
        </w:rPr>
        <w:t>Betreffs der Dokumentation (sensiblen Daten) haben Sie als Psychotherapeut das Recht die Einsicht ganz oder teilweise im zu verweigern, wenn dies nicht zum wohl des Klienten dienen würde.</w:t>
      </w:r>
    </w:p>
    <w:p>
      <w:pPr>
        <w:pStyle w:val="Normal"/>
        <w:tabs>
          <w:tab w:val="left" w:pos="426" w:leader="none"/>
        </w:tabs>
        <w:rPr>
          <w:sz w:val="22"/>
          <w:szCs w:val="22"/>
        </w:rPr>
      </w:pPr>
      <w:r>
        <w:rPr>
          <w:sz w:val="22"/>
          <w:szCs w:val="22"/>
        </w:rPr>
        <w:t xml:space="preserve">Gemäß Art 15 hat die betroffene Person das Recht, von den Verantwortlichen eine Bestätigung darüber zu verlangen, ob personenbezogene Daten über sie vom Verantwortlichen verarbeitet werden. Sollte dies der Fall sein, hat die betroffene Person ein Recht auf Auskunft über diese personenbezogenen Daten und darüber hinaus auf folgende Informationen: </w:t>
      </w:r>
    </w:p>
    <w:p>
      <w:pPr>
        <w:pStyle w:val="Normal"/>
        <w:tabs>
          <w:tab w:val="left" w:pos="426" w:leader="none"/>
        </w:tabs>
        <w:rPr>
          <w:sz w:val="22"/>
          <w:szCs w:val="22"/>
        </w:rPr>
      </w:pPr>
      <w:r>
        <w:rPr>
          <w:sz w:val="22"/>
          <w:szCs w:val="22"/>
        </w:rPr>
        <w:t>a) die Verarbeitungszwecke;</w:t>
      </w:r>
    </w:p>
    <w:p>
      <w:pPr>
        <w:pStyle w:val="Normal"/>
        <w:tabs>
          <w:tab w:val="left" w:pos="426" w:leader="none"/>
        </w:tabs>
        <w:rPr>
          <w:sz w:val="22"/>
          <w:szCs w:val="22"/>
        </w:rPr>
      </w:pPr>
      <w:r>
        <w:rPr>
          <w:sz w:val="22"/>
          <w:szCs w:val="22"/>
        </w:rPr>
        <w:t>b) die Kategorien personenbezogener Daten, die verarbeitet werden;</w:t>
      </w:r>
    </w:p>
    <w:p>
      <w:pPr>
        <w:pStyle w:val="Normal"/>
        <w:tabs>
          <w:tab w:val="left" w:pos="426" w:leader="none"/>
        </w:tabs>
        <w:rPr>
          <w:sz w:val="22"/>
          <w:szCs w:val="22"/>
        </w:rPr>
      </w:pPr>
      <w:r>
        <w:rPr>
          <w:sz w:val="22"/>
          <w:szCs w:val="22"/>
        </w:rPr>
        <w:t>c) die Empfänger oder Kategorien von Empfängern, gegenüber denen die personenbezogenen Daten offengelegt worden sind oder noch offengelegt werden, insbesondere bei Empfängern in Drittländern oder bei internationalen Organisationen;</w:t>
      </w:r>
    </w:p>
    <w:p>
      <w:pPr>
        <w:pStyle w:val="Normal"/>
        <w:tabs>
          <w:tab w:val="left" w:pos="426" w:leader="none"/>
        </w:tabs>
        <w:rPr>
          <w:sz w:val="22"/>
          <w:szCs w:val="22"/>
        </w:rPr>
      </w:pPr>
      <w:r>
        <w:rPr>
          <w:sz w:val="22"/>
          <w:szCs w:val="22"/>
        </w:rPr>
        <w:t>d) falls möglich die geplante Dauer, für die die personenbezogenen Daten gespeichert werden, oder, falls dies nicht möglich ist, die Kriterien für die Festlegung dieser Dauer;</w:t>
      </w:r>
    </w:p>
    <w:p>
      <w:pPr>
        <w:pStyle w:val="Normal"/>
        <w:tabs>
          <w:tab w:val="left" w:pos="426" w:leader="none"/>
        </w:tabs>
        <w:rPr>
          <w:sz w:val="22"/>
          <w:szCs w:val="22"/>
        </w:rPr>
      </w:pPr>
      <w:r>
        <w:rPr>
          <w:sz w:val="22"/>
          <w:szCs w:val="22"/>
        </w:rPr>
        <w:t>e) das Bestehen eines Rechts auf Berichtigung oder Löschung der sie betreffenden personenbezogenen Daten oder auf Einschränkung der Verarbeitung durch den Verantwortlichen oder eines Widerspruchsrechts gegen diese Verarbeitung;</w:t>
      </w:r>
    </w:p>
    <w:p>
      <w:pPr>
        <w:pStyle w:val="Normal"/>
        <w:tabs>
          <w:tab w:val="left" w:pos="426" w:leader="none"/>
        </w:tabs>
        <w:rPr>
          <w:sz w:val="22"/>
          <w:szCs w:val="22"/>
        </w:rPr>
      </w:pPr>
      <w:r>
        <w:rPr>
          <w:sz w:val="22"/>
          <w:szCs w:val="22"/>
        </w:rPr>
        <w:t>f) das Bestehen eines Beschwerderechts bei einer Aufsichtsbehörde;</w:t>
      </w:r>
    </w:p>
    <w:p>
      <w:pPr>
        <w:pStyle w:val="Normal"/>
        <w:tabs>
          <w:tab w:val="left" w:pos="426" w:leader="none"/>
        </w:tabs>
        <w:rPr>
          <w:sz w:val="22"/>
          <w:szCs w:val="22"/>
        </w:rPr>
      </w:pPr>
      <w:r>
        <w:rPr>
          <w:sz w:val="22"/>
          <w:szCs w:val="22"/>
        </w:rPr>
        <w:t>g) wenn die personenbezogenen Daten nicht bei der betroffenen Person erhoben werden, alle verfügbaren Informationen über die Herkunft der Daten;</w:t>
      </w:r>
    </w:p>
    <w:p>
      <w:pPr>
        <w:pStyle w:val="Normal"/>
        <w:tabs>
          <w:tab w:val="left" w:pos="426" w:leader="none"/>
        </w:tabs>
        <w:rPr>
          <w:sz w:val="22"/>
          <w:szCs w:val="22"/>
        </w:rPr>
      </w:pPr>
      <w:r>
        <w:rPr>
          <w:sz w:val="22"/>
          <w:szCs w:val="22"/>
        </w:rPr>
        <w:t>h) das Bestehen einer automatisierten Entscheidungsfindung einschließlich Profiling und in diesen Fällen aussagekräftige Informationen über die involvierte Logik sowie die Tragweite und die angestrebten Auswirkungen einer derartigen Verarbeitung für die betroffene Person.</w:t>
      </w:r>
    </w:p>
    <w:p>
      <w:pPr>
        <w:pStyle w:val="Normal"/>
        <w:tabs>
          <w:tab w:val="left" w:pos="426" w:leader="none"/>
        </w:tabs>
        <w:rPr>
          <w:sz w:val="22"/>
          <w:szCs w:val="22"/>
        </w:rPr>
      </w:pPr>
      <w:r>
        <w:rPr>
          <w:sz w:val="22"/>
          <w:szCs w:val="22"/>
        </w:rPr>
        <w:t xml:space="preserve">Sollten personenbezogene Daten an ein Drittland oder an eine internationale Organisation übermittelt werden, so hat die betroffene Person darüber hinaus das Recht, über die geeigneten Garantien gemäß Art 46 DSGVO im Zusammenhang mit der Übermittlung unterrichtet zu werden. Sollte die betroffene Person dies wünschen, stellt Die verantwortliche eine Kopie der personenbezogenen Daten, die Gegenstand der Verarbeitung sind, dem Betroffenen zur Verfügung. </w:t>
      </w:r>
    </w:p>
    <w:p>
      <w:pPr>
        <w:pStyle w:val="Normal"/>
        <w:tabs>
          <w:tab w:val="left" w:pos="426" w:leader="none"/>
        </w:tabs>
        <w:rPr>
          <w:sz w:val="22"/>
          <w:szCs w:val="22"/>
        </w:rPr>
      </w:pPr>
      <w:r>
        <w:rPr>
          <w:sz w:val="22"/>
          <w:szCs w:val="22"/>
        </w:rPr>
        <w:t xml:space="preserve">Für jede weitere Kopie, die die betroffene Person beantragt, kann Die Verantwortliche ein angemessenes Entgelt auf Grundlage der Verwaltungskosten verlangen. Dieses Recht hat der Betroffene allerdings nur aufgrund unbegründeter oder exzessiver Ausübung des Rechts auf Auskunft. </w:t>
      </w:r>
    </w:p>
    <w:p>
      <w:pPr>
        <w:pStyle w:val="Normal"/>
        <w:tabs>
          <w:tab w:val="left" w:pos="426" w:leader="none"/>
        </w:tabs>
        <w:rPr>
          <w:sz w:val="22"/>
          <w:szCs w:val="22"/>
        </w:rPr>
      </w:pPr>
      <w:r>
        <w:rPr>
          <w:sz w:val="22"/>
          <w:szCs w:val="22"/>
        </w:rPr>
        <w:t xml:space="preserve">Die betroffene Person hat das Recht den Antrag elektronisch zu stellen. In diesem Fall sind die Informationen in einem gängigen elektronischen Format (gesichert) zur Verfügung zu stellen, sofern die betroffene Person nichts Anderes angibt. </w:t>
      </w:r>
    </w:p>
    <w:p>
      <w:pPr>
        <w:pStyle w:val="Normal"/>
        <w:tabs>
          <w:tab w:val="left" w:pos="426" w:leader="none"/>
        </w:tabs>
        <w:rPr>
          <w:b/>
          <w:b/>
          <w:sz w:val="22"/>
          <w:szCs w:val="22"/>
        </w:rPr>
      </w:pPr>
      <w:r>
        <w:rPr>
          <w:b/>
          <w:sz w:val="22"/>
          <w:szCs w:val="22"/>
        </w:rPr>
        <w:t xml:space="preserve">In Entsprechung dieser Verpflichtungen wird Die verantwortliche das Auskunftsrecht der betroffenen Person wie folgt handhaben: </w:t>
      </w:r>
    </w:p>
    <w:p>
      <w:pPr>
        <w:pStyle w:val="Normal"/>
        <w:tabs>
          <w:tab w:val="left" w:pos="426" w:leader="none"/>
        </w:tabs>
        <w:rPr>
          <w:sz w:val="22"/>
          <w:szCs w:val="22"/>
        </w:rPr>
      </w:pPr>
      <w:r>
        <w:rPr>
          <w:sz w:val="22"/>
          <w:szCs w:val="22"/>
        </w:rPr>
        <w:t xml:space="preserve">Sobald der Betroffene einen Antrag auf Auskunft an den Verantwortlichen stellt, wird der Ansprechpartner des Verantwortlichen alle vertretbaren Mittel nutzen, um die Identität der betroffenen Person zu überprüfen. Der Antrag der betroffenen Person bedarf keiner besonderen Form und darf auch elektronisch erfolgen. </w:t>
      </w:r>
    </w:p>
    <w:p>
      <w:pPr>
        <w:pStyle w:val="Normal"/>
        <w:tabs>
          <w:tab w:val="left" w:pos="426" w:leader="none"/>
        </w:tabs>
        <w:rPr/>
      </w:pPr>
      <w:r>
        <w:rPr>
          <w:sz w:val="22"/>
          <w:szCs w:val="22"/>
        </w:rPr>
        <w:t xml:space="preserve">Der Antrag muss dem Verantwortlichen aber ermöglichen, die Informationen herauszufinden, die er beauskunften soll. Für die Beauskunftung ist beim Verantwortlichen </w:t>
      </w:r>
      <w:r>
        <w:rPr>
          <w:b/>
          <w:sz w:val="22"/>
          <w:szCs w:val="22"/>
        </w:rPr>
        <w:t>der Ansprechpartner</w:t>
      </w:r>
      <w:r>
        <w:rPr>
          <w:sz w:val="22"/>
          <w:szCs w:val="22"/>
        </w:rPr>
        <w:t xml:space="preserve"> zuständig.</w:t>
      </w:r>
    </w:p>
    <w:p>
      <w:pPr>
        <w:pStyle w:val="Normal"/>
        <w:tabs>
          <w:tab w:val="left" w:pos="426" w:leader="none"/>
        </w:tabs>
        <w:rPr/>
      </w:pPr>
      <w:r>
        <w:rPr>
          <w:sz w:val="22"/>
          <w:szCs w:val="22"/>
        </w:rPr>
        <w:t xml:space="preserve">Sollte der Betroffene eine </w:t>
      </w:r>
      <w:r>
        <w:rPr>
          <w:b/>
          <w:sz w:val="22"/>
          <w:szCs w:val="22"/>
        </w:rPr>
        <w:t>mündliche Auskunft</w:t>
      </w:r>
      <w:r>
        <w:rPr>
          <w:sz w:val="22"/>
          <w:szCs w:val="22"/>
        </w:rPr>
        <w:t xml:space="preserve"> verlangen, so wird der Zuständige die Identität des Betroffenen in geeigneter Weise feststellen und die Auskunft ebenso mündlich erteilen. Der Zuständige wird sämtliche Datenbestände nach Informationen, die die betroffene Person betreffen, durchsuchen und diese Informationen zusammenstellen. </w:t>
      </w:r>
    </w:p>
    <w:p>
      <w:pPr>
        <w:pStyle w:val="Normal"/>
        <w:tabs>
          <w:tab w:val="left" w:pos="426" w:leader="none"/>
        </w:tabs>
        <w:rPr>
          <w:sz w:val="22"/>
          <w:szCs w:val="22"/>
        </w:rPr>
      </w:pPr>
      <w:r>
        <w:rPr>
          <w:sz w:val="22"/>
          <w:szCs w:val="22"/>
        </w:rPr>
        <w:t xml:space="preserve">Der Ansprechpartner wird sämtliche Datenbestände, in denen personenbezogene Daten über den Betroffenen zu finden sind, zusammenstellen und – sofern diese inhaltlich unübersichtlich sind – kurz erläutern. </w:t>
      </w:r>
    </w:p>
    <w:p>
      <w:pPr>
        <w:pStyle w:val="Normal"/>
        <w:tabs>
          <w:tab w:val="left" w:pos="426" w:leader="none"/>
        </w:tabs>
        <w:rPr/>
      </w:pPr>
      <w:r>
        <w:rPr>
          <w:sz w:val="22"/>
          <w:szCs w:val="22"/>
        </w:rPr>
        <w:tab/>
      </w:r>
      <w:r>
        <w:rPr>
          <w:b/>
          <w:sz w:val="22"/>
          <w:szCs w:val="22"/>
        </w:rPr>
        <w:t xml:space="preserve">Die Auskunft wird folgende Informationen umfassen, </w:t>
      </w:r>
      <w:r>
        <w:rPr>
          <w:b/>
          <w:sz w:val="22"/>
          <w:szCs w:val="22"/>
        </w:rPr>
        <w:t>siehe Anhang</w:t>
      </w:r>
    </w:p>
    <w:p>
      <w:pPr>
        <w:pStyle w:val="Normal"/>
        <w:tabs>
          <w:tab w:val="left" w:pos="426" w:leader="none"/>
        </w:tabs>
        <w:rPr/>
      </w:pPr>
      <w:r>
        <w:rPr>
          <w:sz w:val="22"/>
          <w:szCs w:val="22"/>
        </w:rPr>
        <w:tab/>
        <w:t>-</w:t>
        <w:tab/>
      </w:r>
      <w:r>
        <w:rPr>
          <w:b/>
          <w:sz w:val="22"/>
          <w:szCs w:val="22"/>
        </w:rPr>
        <w:t>Betroffene Rechte:</w:t>
      </w:r>
      <w:r>
        <w:rPr>
          <w:sz w:val="22"/>
          <w:szCs w:val="22"/>
        </w:rPr>
        <w:t xml:space="preserve"> Die verantwortliche wird die betroffene Person über Folgendes informieren: </w:t>
      </w:r>
    </w:p>
    <w:p>
      <w:pPr>
        <w:pStyle w:val="Normal"/>
        <w:tabs>
          <w:tab w:val="left" w:pos="426" w:leader="none"/>
        </w:tabs>
        <w:rPr>
          <w:i/>
          <w:i/>
          <w:sz w:val="22"/>
          <w:szCs w:val="22"/>
        </w:rPr>
      </w:pPr>
      <w:r>
        <w:rPr>
          <w:i/>
          <w:sz w:val="22"/>
          <w:szCs w:val="22"/>
        </w:rPr>
        <w:t>„</w:t>
      </w:r>
      <w:r>
        <w:rPr>
          <w:i/>
          <w:sz w:val="22"/>
          <w:szCs w:val="22"/>
        </w:rPr>
        <w:t xml:space="preserve">Die betroffene Person hat das Recht auf Auskunft über die gespeicherten Daten gemäß Art 15 DSGVO, auf Berichtigung unzutreffender Daten gemäß Art 16 DSGVO, auf Löschung von Daten gemäß Art 17 DSGVO, auf Einschränkung der Verarbeitung von Daten gemäß Art 18 DSGVO, auf Widerspruch gegen die unzumutbare Datenverarbeitung gemäß Art 21 DSGVO sowie auf Datenübertragbarkeit gemäß Art 20 DSGVO. </w:t>
      </w:r>
    </w:p>
    <w:p>
      <w:pPr>
        <w:pStyle w:val="Normal"/>
        <w:tabs>
          <w:tab w:val="left" w:pos="426" w:leader="none"/>
        </w:tabs>
        <w:rPr>
          <w:i/>
          <w:i/>
          <w:sz w:val="22"/>
          <w:szCs w:val="22"/>
        </w:rPr>
      </w:pPr>
      <w:r>
        <w:rPr>
          <w:i/>
          <w:sz w:val="22"/>
          <w:szCs w:val="22"/>
        </w:rPr>
        <w:t xml:space="preserve">Der Betroffene hat das Recht, sich bei der Aufsichtsbehörde zu beschweren – zuständig ist in Österreich die Datenschutzbehörde.“ </w:t>
      </w:r>
    </w:p>
    <w:p>
      <w:pPr>
        <w:pStyle w:val="Normal"/>
        <w:tabs>
          <w:tab w:val="left" w:pos="0" w:leader="none"/>
          <w:tab w:val="left" w:pos="426" w:leader="none"/>
        </w:tabs>
        <w:rPr>
          <w:sz w:val="22"/>
          <w:szCs w:val="22"/>
        </w:rPr>
      </w:pPr>
      <w:r>
        <w:rPr>
          <w:sz w:val="22"/>
          <w:szCs w:val="22"/>
        </w:rPr>
        <w:t xml:space="preserve">Die Verantwortliche wird – sofern der Betroffene dies wünscht – die personenbezogenen Daten, die die betroffene Person betreffen, dieser so zur Verfügung stellen, dass diese in einem strukturierten, gängigen und maschinenlesbaren Format vorliegen. </w:t>
      </w:r>
    </w:p>
    <w:p>
      <w:pPr>
        <w:pStyle w:val="Normal"/>
        <w:tabs>
          <w:tab w:val="left" w:pos="0" w:leader="none"/>
          <w:tab w:val="left" w:pos="426" w:leader="none"/>
        </w:tabs>
        <w:rPr>
          <w:sz w:val="22"/>
          <w:szCs w:val="22"/>
        </w:rPr>
      </w:pPr>
      <w:r>
        <w:rPr>
          <w:sz w:val="22"/>
          <w:szCs w:val="22"/>
        </w:rPr>
        <w:t xml:space="preserve">Der Betroffene soll so die Möglichkeit haben, die Daten einem anderen Verantwortlichen ohne Behinderung zu übermitteln. </w:t>
      </w:r>
    </w:p>
    <w:p>
      <w:pPr>
        <w:pStyle w:val="Normal"/>
        <w:tabs>
          <w:tab w:val="left" w:pos="426" w:leader="none"/>
        </w:tabs>
        <w:rPr>
          <w:b/>
          <w:b/>
          <w:sz w:val="22"/>
          <w:szCs w:val="22"/>
        </w:rPr>
      </w:pPr>
      <w:r>
        <w:rPr>
          <w:b/>
          <w:sz w:val="22"/>
          <w:szCs w:val="22"/>
        </w:rPr>
        <w:t xml:space="preserve">Frist: </w:t>
      </w:r>
    </w:p>
    <w:p>
      <w:pPr>
        <w:pStyle w:val="Normal"/>
        <w:tabs>
          <w:tab w:val="left" w:pos="426" w:leader="none"/>
        </w:tabs>
        <w:rPr>
          <w:sz w:val="22"/>
          <w:szCs w:val="22"/>
        </w:rPr>
      </w:pPr>
      <w:r>
        <w:rPr>
          <w:sz w:val="22"/>
          <w:szCs w:val="22"/>
        </w:rPr>
        <w:t xml:space="preserve">Die Verantwortliche wird die Auskunft unverzüglich erteilen, jedenfalls binnen eines Monats ab Eingang beim Verantwortlichen. Sollte es sich um eine umfangreiche und komplexe Auskunft handeln, kann Die Verantwortliche im Einzelfall die Frist zur Beauskunftung einmalig um weitere zwei Monate verlängern. Die Verantwortliche wird dies unter Nennung der Gründe dem Betroffenen binnen eines Monats mitteilen. </w:t>
      </w:r>
    </w:p>
    <w:p>
      <w:pPr>
        <w:pStyle w:val="Normal"/>
        <w:numPr>
          <w:ilvl w:val="2"/>
          <w:numId w:val="4"/>
        </w:numPr>
        <w:tabs>
          <w:tab w:val="left" w:pos="426" w:leader="none"/>
        </w:tabs>
        <w:rPr>
          <w:b/>
          <w:b/>
          <w:sz w:val="22"/>
          <w:szCs w:val="22"/>
        </w:rPr>
      </w:pPr>
      <w:r>
        <w:rPr>
          <w:b/>
          <w:sz w:val="22"/>
          <w:szCs w:val="22"/>
        </w:rPr>
        <w:t>Negativauskunft:</w:t>
      </w:r>
    </w:p>
    <w:p>
      <w:pPr>
        <w:pStyle w:val="Normal"/>
        <w:tabs>
          <w:tab w:val="left" w:pos="426" w:leader="none"/>
        </w:tabs>
        <w:rPr>
          <w:sz w:val="22"/>
          <w:szCs w:val="22"/>
        </w:rPr>
      </w:pPr>
      <w:r>
        <w:rPr>
          <w:sz w:val="22"/>
          <w:szCs w:val="22"/>
        </w:rPr>
        <w:t xml:space="preserve">Sollte Die Verantwortliche die Beauskunftung nicht erteilen, wird er dies ebenso binnen eines Monats unter Angabe von Gründen dem Betroffenen mitteilen. </w:t>
      </w:r>
    </w:p>
    <w:p>
      <w:pPr>
        <w:pStyle w:val="Normal"/>
        <w:tabs>
          <w:tab w:val="left" w:pos="426" w:leader="none"/>
        </w:tabs>
        <w:rPr>
          <w:sz w:val="22"/>
          <w:szCs w:val="22"/>
        </w:rPr>
      </w:pPr>
      <w:r>
        <w:rPr>
          <w:sz w:val="22"/>
          <w:szCs w:val="22"/>
        </w:rPr>
        <w:t xml:space="preserve">Sollte Die Verantwortliche keine Daten über die betroffene Person verarbeiten, wird Die Verantwortliche eine Negativauskunft (eine Bestätigung, dass er keine Daten über den Betroffenen verarbeitet) dem Betroffenen übermitteln. </w:t>
      </w:r>
    </w:p>
    <w:p>
      <w:pPr>
        <w:pStyle w:val="Berschrift3"/>
        <w:numPr>
          <w:ilvl w:val="2"/>
          <w:numId w:val="4"/>
        </w:numPr>
        <w:tabs>
          <w:tab w:val="left" w:pos="426" w:leader="none"/>
        </w:tabs>
        <w:rPr>
          <w:b/>
          <w:b/>
          <w:sz w:val="22"/>
          <w:szCs w:val="22"/>
        </w:rPr>
      </w:pPr>
      <w:r>
        <w:rPr>
          <w:b/>
          <w:sz w:val="22"/>
          <w:szCs w:val="22"/>
        </w:rPr>
        <w:t xml:space="preserve">Recht auf </w:t>
      </w:r>
      <w:r>
        <w:rPr>
          <w:b/>
          <w:sz w:val="22"/>
          <w:szCs w:val="22"/>
        </w:rPr>
        <w:t>Berichtigung</w:t>
      </w:r>
    </w:p>
    <w:p>
      <w:pPr>
        <w:pStyle w:val="Normal"/>
        <w:tabs>
          <w:tab w:val="left" w:pos="426" w:leader="none"/>
        </w:tabs>
        <w:rPr/>
      </w:pPr>
      <w:r>
        <w:rPr>
          <w:sz w:val="22"/>
          <w:szCs w:val="22"/>
        </w:rPr>
        <w:t xml:space="preserve">Sollte der Betroffene den Verantwortlichen darüber informieren, dass dieser unrichtige oder (für den Zweck der Datenverarbeitung) unvollständige Daten verarbeitet, hat der Betroffene das Recht, sich an den </w:t>
      </w:r>
      <w:r>
        <w:rPr>
          <w:b/>
          <w:sz w:val="22"/>
          <w:szCs w:val="22"/>
        </w:rPr>
        <w:t>Ansprechpartner</w:t>
      </w:r>
      <w:r>
        <w:rPr>
          <w:sz w:val="22"/>
          <w:szCs w:val="22"/>
        </w:rPr>
        <w:t xml:space="preserve"> beim Verantwortlichen zu melden. Dieser wird die von der betroffenen Person bekanntgegeben Daten unverzüglich inhaltlich prüfen und gegebenenfalls vervollständigen bzw. richtigstellen. </w:t>
      </w:r>
    </w:p>
    <w:p>
      <w:pPr>
        <w:pStyle w:val="Normal"/>
        <w:tabs>
          <w:tab w:val="left" w:pos="426" w:leader="none"/>
        </w:tabs>
        <w:rPr>
          <w:sz w:val="22"/>
          <w:szCs w:val="22"/>
        </w:rPr>
      </w:pPr>
      <w:r>
        <w:rPr>
          <w:sz w:val="22"/>
          <w:szCs w:val="22"/>
        </w:rPr>
        <w:t xml:space="preserve">Sollte die Korrektheit der Daten strittig sein, wird Die Verantwortliche die Verarbeitung einschränken (siehe dazu unten). </w:t>
      </w:r>
    </w:p>
    <w:p>
      <w:pPr>
        <w:pStyle w:val="Normal"/>
        <w:tabs>
          <w:tab w:val="left" w:pos="426" w:leader="none"/>
        </w:tabs>
        <w:rPr>
          <w:sz w:val="22"/>
          <w:szCs w:val="22"/>
        </w:rPr>
      </w:pPr>
      <w:r>
        <w:rPr>
          <w:sz w:val="22"/>
          <w:szCs w:val="22"/>
        </w:rPr>
        <w:t xml:space="preserve">Weiters wird Die Verantwortliche etwaige Empfänger der (unrichtigen) Daten über die berichtigten Daten informieren. </w:t>
      </w:r>
    </w:p>
    <w:p>
      <w:pPr>
        <w:pStyle w:val="Berschrift3"/>
        <w:numPr>
          <w:ilvl w:val="2"/>
          <w:numId w:val="4"/>
        </w:numPr>
        <w:tabs>
          <w:tab w:val="left" w:pos="0" w:leader="none"/>
          <w:tab w:val="left" w:pos="426" w:leader="none"/>
        </w:tabs>
        <w:rPr>
          <w:b/>
          <w:b/>
          <w:bCs/>
          <w:sz w:val="22"/>
          <w:szCs w:val="22"/>
        </w:rPr>
      </w:pPr>
      <w:r>
        <w:rPr>
          <w:b/>
          <w:bCs/>
          <w:sz w:val="22"/>
          <w:szCs w:val="22"/>
        </w:rPr>
        <w:t xml:space="preserve">Recht auf </w:t>
      </w:r>
      <w:r>
        <w:rPr>
          <w:b/>
          <w:bCs/>
          <w:sz w:val="22"/>
          <w:szCs w:val="22"/>
        </w:rPr>
        <w:t>Löschung</w:t>
      </w:r>
    </w:p>
    <w:p>
      <w:pPr>
        <w:pStyle w:val="Normal"/>
        <w:tabs>
          <w:tab w:val="left" w:pos="0" w:leader="none"/>
          <w:tab w:val="left" w:pos="426" w:leader="none"/>
        </w:tabs>
        <w:rPr>
          <w:sz w:val="22"/>
          <w:szCs w:val="22"/>
        </w:rPr>
      </w:pPr>
      <w:r>
        <w:rPr>
          <w:sz w:val="22"/>
          <w:szCs w:val="22"/>
        </w:rPr>
        <w:t>Die betroffene Person hat das Recht, von dem Verantwortlichen zu verlangen, dass betreffende personenbezogene Daten unverzüglich gelöscht werden. Die Verantwortliche ist verpflichtet, personenbezogene Daten unverzüglich zu löschen, sofern einer der folgenden Gründe zutrifft:</w:t>
      </w:r>
    </w:p>
    <w:p>
      <w:pPr>
        <w:pStyle w:val="Normal"/>
        <w:tabs>
          <w:tab w:val="left" w:pos="0" w:leader="none"/>
          <w:tab w:val="left" w:pos="426" w:leader="none"/>
        </w:tabs>
        <w:rPr>
          <w:sz w:val="22"/>
          <w:szCs w:val="22"/>
        </w:rPr>
      </w:pPr>
      <w:r>
        <w:rPr>
          <w:sz w:val="22"/>
          <w:szCs w:val="22"/>
        </w:rPr>
        <w:t>-</w:t>
        <w:tab/>
        <w:t>Die personenbezogenen Daten sind für die Zwecke, für die sie erhoben wurden, nicht mehr notwendig;</w:t>
      </w:r>
    </w:p>
    <w:p>
      <w:pPr>
        <w:pStyle w:val="Normal"/>
        <w:tabs>
          <w:tab w:val="left" w:pos="0" w:leader="none"/>
          <w:tab w:val="left" w:pos="426" w:leader="none"/>
        </w:tabs>
        <w:rPr>
          <w:sz w:val="22"/>
          <w:szCs w:val="22"/>
        </w:rPr>
      </w:pPr>
      <w:r>
        <w:rPr>
          <w:sz w:val="22"/>
          <w:szCs w:val="22"/>
        </w:rPr>
        <w:t>-</w:t>
        <w:tab/>
        <w:t>Die betroffene Person widerruft ihre Einwilligung, auf die sich die Verarbeitung stützt und es fehlt an einer anderweitigen Rechtsgrundlage für die Verarbeitung;</w:t>
      </w:r>
    </w:p>
    <w:p>
      <w:pPr>
        <w:pStyle w:val="Normal"/>
        <w:tabs>
          <w:tab w:val="left" w:pos="0" w:leader="none"/>
          <w:tab w:val="left" w:pos="426" w:leader="none"/>
        </w:tabs>
        <w:rPr>
          <w:sz w:val="22"/>
          <w:szCs w:val="22"/>
        </w:rPr>
      </w:pPr>
      <w:r>
        <w:rPr>
          <w:sz w:val="22"/>
          <w:szCs w:val="22"/>
        </w:rPr>
        <w:t>-</w:t>
        <w:tab/>
        <w:t>Die betroffene Person legt Widerspruch gegen die Verarbeitung ein und es liegen keine vorrangigen berechtigten Gründe für die Verarbeitung vor;</w:t>
      </w:r>
    </w:p>
    <w:p>
      <w:pPr>
        <w:pStyle w:val="Normal"/>
        <w:tabs>
          <w:tab w:val="left" w:pos="0" w:leader="none"/>
          <w:tab w:val="left" w:pos="426" w:leader="none"/>
        </w:tabs>
        <w:rPr>
          <w:sz w:val="22"/>
          <w:szCs w:val="22"/>
        </w:rPr>
      </w:pPr>
      <w:r>
        <w:rPr>
          <w:sz w:val="22"/>
          <w:szCs w:val="22"/>
        </w:rPr>
        <w:t>-</w:t>
        <w:tab/>
        <w:t>Die personenbezogenen Daten wurden unrechtmäßig verarbeitet;</w:t>
      </w:r>
    </w:p>
    <w:p>
      <w:pPr>
        <w:pStyle w:val="Normal"/>
        <w:tabs>
          <w:tab w:val="left" w:pos="0" w:leader="none"/>
          <w:tab w:val="left" w:pos="426" w:leader="none"/>
        </w:tabs>
        <w:rPr>
          <w:sz w:val="22"/>
          <w:szCs w:val="22"/>
        </w:rPr>
      </w:pPr>
      <w:r>
        <w:rPr>
          <w:sz w:val="22"/>
          <w:szCs w:val="22"/>
        </w:rPr>
        <w:t>-</w:t>
        <w:tab/>
        <w:t>Die Löschung der personenbezogenen Daten ist zur Erfüllung einer rechtlichen Verpflichtung erforderlich;</w:t>
      </w:r>
    </w:p>
    <w:p>
      <w:pPr>
        <w:pStyle w:val="Normal"/>
        <w:tabs>
          <w:tab w:val="left" w:pos="0" w:leader="none"/>
          <w:tab w:val="left" w:pos="426" w:leader="none"/>
        </w:tabs>
        <w:rPr>
          <w:sz w:val="22"/>
          <w:szCs w:val="22"/>
        </w:rPr>
      </w:pPr>
      <w:r>
        <w:rPr>
          <w:sz w:val="22"/>
          <w:szCs w:val="22"/>
        </w:rPr>
        <w:t>-</w:t>
        <w:tab/>
        <w:t>Bei den personenbezogenen Daten handelt es sich um die Daten eines Kindes in Bezug auf angebotene Internetdienste.</w:t>
      </w:r>
    </w:p>
    <w:p>
      <w:pPr>
        <w:pStyle w:val="Normal"/>
        <w:tabs>
          <w:tab w:val="left" w:pos="0" w:leader="none"/>
          <w:tab w:val="left" w:pos="426" w:leader="none"/>
        </w:tabs>
        <w:rPr>
          <w:sz w:val="22"/>
          <w:szCs w:val="22"/>
        </w:rPr>
      </w:pPr>
      <w:r>
        <w:rPr>
          <w:sz w:val="22"/>
          <w:szCs w:val="22"/>
        </w:rPr>
        <w:t xml:space="preserve">Die Verantwortliche wird jedes Löschungsbegehren umgehend prüfen und mit zumutbarem Aufwand die Voraussetzungen des Anspruchs prüfen. </w:t>
      </w:r>
    </w:p>
    <w:p>
      <w:pPr>
        <w:pStyle w:val="Normal"/>
        <w:tabs>
          <w:tab w:val="left" w:pos="0" w:leader="none"/>
          <w:tab w:val="left" w:pos="426" w:leader="none"/>
        </w:tabs>
        <w:rPr>
          <w:sz w:val="22"/>
          <w:szCs w:val="22"/>
        </w:rPr>
      </w:pPr>
      <w:r>
        <w:rPr>
          <w:sz w:val="22"/>
          <w:szCs w:val="22"/>
        </w:rPr>
        <w:t xml:space="preserve">Die Verantwortliche wird die betroffene Person jedenfalls innerhalb eines Monats nach Eingang des Antrags über die ergriffenen Maßnahmen bzw. über die Gründe der Ablehnung informieren. Gegebenenfalls wird Die Verantwortliche den Betroffenen – sofern es sich um ein komplexes Begehren handelt – über die Verlängerung der Prüfung des Löschungsbegehrens um zwei Monate ebenso binnen eines Monats informieren. </w:t>
      </w:r>
    </w:p>
    <w:p>
      <w:pPr>
        <w:pStyle w:val="Normal"/>
        <w:tabs>
          <w:tab w:val="left" w:pos="0" w:leader="none"/>
          <w:tab w:val="left" w:pos="426" w:leader="none"/>
        </w:tabs>
        <w:rPr>
          <w:sz w:val="22"/>
          <w:szCs w:val="22"/>
        </w:rPr>
      </w:pPr>
      <w:r>
        <w:rPr>
          <w:sz w:val="22"/>
          <w:szCs w:val="22"/>
        </w:rPr>
        <w:t xml:space="preserve">Sollte die betroffene Person einen Widerspruch erhoben haben, und hat die betroffene Person vom Verantwortlichen die Einschränkung der Verarbeitung verlangt, wird Die Verantwortliche die Verarbeitung einschränken (siehe dazu unten). </w:t>
      </w:r>
    </w:p>
    <w:p>
      <w:pPr>
        <w:pStyle w:val="Normal"/>
        <w:tabs>
          <w:tab w:val="left" w:pos="0" w:leader="none"/>
          <w:tab w:val="left" w:pos="426" w:leader="none"/>
        </w:tabs>
        <w:rPr>
          <w:sz w:val="22"/>
          <w:szCs w:val="22"/>
        </w:rPr>
      </w:pPr>
      <w:r>
        <w:rPr>
          <w:sz w:val="22"/>
          <w:szCs w:val="22"/>
        </w:rPr>
        <w:t>Löschungen werden für 3 Jahre archiviert.</w:t>
      </w:r>
    </w:p>
    <w:p>
      <w:pPr>
        <w:pStyle w:val="Berschrift3"/>
        <w:numPr>
          <w:ilvl w:val="2"/>
          <w:numId w:val="4"/>
        </w:numPr>
        <w:tabs>
          <w:tab w:val="left" w:pos="0" w:leader="none"/>
          <w:tab w:val="left" w:pos="426" w:leader="none"/>
        </w:tabs>
        <w:rPr>
          <w:b/>
          <w:b/>
          <w:sz w:val="22"/>
          <w:szCs w:val="22"/>
        </w:rPr>
      </w:pPr>
      <w:r>
        <w:rPr>
          <w:b/>
          <w:sz w:val="22"/>
          <w:szCs w:val="22"/>
        </w:rPr>
        <w:t xml:space="preserve">Recht auf </w:t>
      </w:r>
      <w:r>
        <w:rPr>
          <w:b/>
          <w:sz w:val="22"/>
          <w:szCs w:val="22"/>
        </w:rPr>
        <w:t>Einschränkung</w:t>
      </w:r>
    </w:p>
    <w:p>
      <w:pPr>
        <w:pStyle w:val="Normal"/>
        <w:tabs>
          <w:tab w:val="left" w:pos="0" w:leader="none"/>
          <w:tab w:val="left" w:pos="426" w:leader="none"/>
        </w:tabs>
        <w:rPr>
          <w:sz w:val="22"/>
          <w:szCs w:val="22"/>
        </w:rPr>
      </w:pPr>
      <w:r>
        <w:rPr>
          <w:sz w:val="22"/>
          <w:szCs w:val="22"/>
        </w:rPr>
        <w:t>Die Verantwortliche wird die personenbezogenen Daten eines Betroffenen nur eingeschränkt verarbeiten, sofern:</w:t>
      </w:r>
    </w:p>
    <w:p>
      <w:pPr>
        <w:pStyle w:val="Normal"/>
        <w:tabs>
          <w:tab w:val="left" w:pos="0" w:leader="none"/>
          <w:tab w:val="left" w:pos="426" w:leader="none"/>
        </w:tabs>
        <w:rPr>
          <w:sz w:val="22"/>
          <w:szCs w:val="22"/>
        </w:rPr>
      </w:pPr>
      <w:r>
        <w:rPr>
          <w:sz w:val="22"/>
          <w:szCs w:val="22"/>
        </w:rPr>
        <w:tab/>
        <w:t>-</w:t>
        <w:tab/>
        <w:t>die betroffene Person die Richtigkeit der personenbezogenen Daten bestritten hat (für die Dauer der Prüfung der Richtigkeit der personenbezogenen Daten durch den Verantwortlichen);</w:t>
      </w:r>
    </w:p>
    <w:p>
      <w:pPr>
        <w:pStyle w:val="Normal"/>
        <w:tabs>
          <w:tab w:val="left" w:pos="0" w:leader="none"/>
          <w:tab w:val="left" w:pos="426" w:leader="none"/>
        </w:tabs>
        <w:rPr>
          <w:sz w:val="22"/>
          <w:szCs w:val="22"/>
        </w:rPr>
      </w:pPr>
      <w:r>
        <w:rPr>
          <w:sz w:val="22"/>
          <w:szCs w:val="22"/>
        </w:rPr>
        <w:tab/>
        <w:t>-</w:t>
        <w:tab/>
        <w:t>die Verarbeitung unrechtmäßig erfolgt und die betroffene Person die Löschung der personenbezogenen Daten ablehnt und stattdessen die Einschränkung der Nutzung der personenbezogenen Daten verlangt;</w:t>
      </w:r>
    </w:p>
    <w:p>
      <w:pPr>
        <w:pStyle w:val="Normal"/>
        <w:tabs>
          <w:tab w:val="left" w:pos="0" w:leader="none"/>
          <w:tab w:val="left" w:pos="426" w:leader="none"/>
        </w:tabs>
        <w:rPr>
          <w:sz w:val="22"/>
          <w:szCs w:val="22"/>
        </w:rPr>
      </w:pPr>
      <w:r>
        <w:rPr>
          <w:sz w:val="22"/>
          <w:szCs w:val="22"/>
        </w:rPr>
        <w:tab/>
        <w:t>-</w:t>
        <w:tab/>
        <w:t>Die Verantwortliche die personenbezogenen Daten für die Zwecke der Verarbeitung nicht länger benötigt, die betroffene Person sie jedoch zur Geltendmachung, Ausübung oder Verteidigung von Rechtsansprüchen benötigt;</w:t>
      </w:r>
    </w:p>
    <w:p>
      <w:pPr>
        <w:pStyle w:val="Normal"/>
        <w:tabs>
          <w:tab w:val="left" w:pos="0" w:leader="none"/>
          <w:tab w:val="left" w:pos="426" w:leader="none"/>
        </w:tabs>
        <w:rPr>
          <w:sz w:val="22"/>
          <w:szCs w:val="22"/>
        </w:rPr>
      </w:pPr>
      <w:r>
        <w:rPr>
          <w:sz w:val="22"/>
          <w:szCs w:val="22"/>
        </w:rPr>
        <w:tab/>
        <w:t>-</w:t>
        <w:tab/>
        <w:t xml:space="preserve">die betroffene Person Widerspruch gegen die Verarbeitung eingelegt hat, solange noch nicht feststeht, ob die berechtigten Gründe des Verantwortlichen gegenüber denen der betroffenen Person überwiegen. </w:t>
      </w:r>
    </w:p>
    <w:p>
      <w:pPr>
        <w:pStyle w:val="Normal"/>
        <w:tabs>
          <w:tab w:val="left" w:pos="0" w:leader="none"/>
          <w:tab w:val="left" w:pos="426" w:leader="none"/>
        </w:tabs>
        <w:rPr>
          <w:sz w:val="22"/>
          <w:szCs w:val="22"/>
        </w:rPr>
      </w:pPr>
      <w:r>
        <w:rPr>
          <w:sz w:val="22"/>
          <w:szCs w:val="22"/>
        </w:rPr>
        <w:t>Sollte die Verarbeitung eingeschränkt worden sein, so dürfen diese personenbezogenen Daten – von ihrer Speicherung abgesehen – nur mit Einwilligung der betroffenen Personen oder zur Geltendmachung, Ausübung oder Verteidigung von Rechtsansprüchen oder zum Schutz der Rechte einer anderen natürlichen Personen oder aus Gründen eines wichtigen öffentlichen Interesses – verarbeitet werden.</w:t>
      </w:r>
    </w:p>
    <w:p>
      <w:pPr>
        <w:pStyle w:val="Normal"/>
        <w:tabs>
          <w:tab w:val="left" w:pos="0" w:leader="none"/>
          <w:tab w:val="left" w:pos="426" w:leader="none"/>
        </w:tabs>
        <w:rPr>
          <w:sz w:val="22"/>
          <w:szCs w:val="22"/>
        </w:rPr>
      </w:pPr>
      <w:r>
        <w:rPr>
          <w:sz w:val="22"/>
          <w:szCs w:val="22"/>
        </w:rPr>
        <w:t xml:space="preserve">Die Verantwortliche wird die betroffene Person jeweils schriftlich über die ergriffenen Maßnahmen informieren. </w:t>
      </w:r>
    </w:p>
    <w:p>
      <w:pPr>
        <w:pStyle w:val="Normal"/>
        <w:tabs>
          <w:tab w:val="left" w:pos="0" w:leader="none"/>
          <w:tab w:val="left" w:pos="426" w:leader="none"/>
        </w:tabs>
        <w:rPr>
          <w:sz w:val="22"/>
          <w:szCs w:val="22"/>
        </w:rPr>
      </w:pPr>
      <w:r>
        <w:rPr>
          <w:sz w:val="22"/>
          <w:szCs w:val="22"/>
        </w:rPr>
        <w:t xml:space="preserve">Die Verantwortliche wird allen Empfängern, denen personenbezogene Daten offengelegt wurden, die Einschränkung der Verarbeitung mitteilen, es sei denn, dies erweist sich als unmöglich oder ist mit einem unverhältnismäßigen Aufwand verbunden. </w:t>
      </w:r>
    </w:p>
    <w:p>
      <w:pPr>
        <w:pStyle w:val="Normal"/>
        <w:tabs>
          <w:tab w:val="left" w:pos="0" w:leader="none"/>
          <w:tab w:val="left" w:pos="426" w:leader="none"/>
        </w:tabs>
        <w:rPr>
          <w:sz w:val="22"/>
          <w:szCs w:val="22"/>
        </w:rPr>
      </w:pPr>
      <w:r>
        <w:rPr>
          <w:sz w:val="22"/>
          <w:szCs w:val="22"/>
        </w:rPr>
        <w:t xml:space="preserve">Sofern die betroffene Person dies wünscht, wird Die Verantwortliche die betroffene Person über die Empfänger dieser Mitteilung informieren. </w:t>
      </w:r>
    </w:p>
    <w:p>
      <w:pPr>
        <w:pStyle w:val="Berschrift3"/>
        <w:numPr>
          <w:ilvl w:val="2"/>
          <w:numId w:val="4"/>
        </w:numPr>
        <w:tabs>
          <w:tab w:val="left" w:pos="426" w:leader="none"/>
        </w:tabs>
        <w:rPr>
          <w:b/>
          <w:b/>
          <w:sz w:val="22"/>
          <w:szCs w:val="22"/>
        </w:rPr>
      </w:pPr>
      <w:r>
        <w:rPr>
          <w:b/>
          <w:sz w:val="22"/>
          <w:szCs w:val="22"/>
        </w:rPr>
        <w:t xml:space="preserve">Recht auf </w:t>
      </w:r>
      <w:r>
        <w:rPr>
          <w:b/>
          <w:sz w:val="22"/>
          <w:szCs w:val="22"/>
        </w:rPr>
        <w:t>Widerspruch</w:t>
      </w:r>
    </w:p>
    <w:p>
      <w:pPr>
        <w:pStyle w:val="Normal"/>
        <w:tabs>
          <w:tab w:val="left" w:pos="426" w:leader="none"/>
        </w:tabs>
        <w:rPr>
          <w:sz w:val="22"/>
          <w:szCs w:val="22"/>
        </w:rPr>
      </w:pPr>
      <w:r>
        <w:rPr>
          <w:sz w:val="22"/>
          <w:szCs w:val="22"/>
        </w:rPr>
        <w:t xml:space="preserve">Die betroffene Person hat das Recht, aus Gründen, die sich aus ihrer besonderen Situation ergeben, jederzeit gegen die Verarbeitung sie betreffender personenbezogener Daten Widerspruch einzulegen, sofern die Verarbeitung für die Wahrnehmung einer Aufgabe erforderlich ist, die im öffentlichen Interesse liegt oder in Ausübung öffentlicher Gewalt erfolgt, die dem Verantwortlichen übertragen wurde oder aber die Verarbeitung zur Wahrung der berechtigten Interessen des Verantwortlichen oder eines Dritten erforderlich ist. </w:t>
      </w:r>
    </w:p>
    <w:p>
      <w:pPr>
        <w:pStyle w:val="Normal"/>
        <w:tabs>
          <w:tab w:val="left" w:pos="426" w:leader="none"/>
        </w:tabs>
        <w:rPr>
          <w:sz w:val="22"/>
          <w:szCs w:val="22"/>
        </w:rPr>
      </w:pPr>
      <w:r>
        <w:rPr>
          <w:sz w:val="22"/>
          <w:szCs w:val="22"/>
        </w:rPr>
        <w:t xml:space="preserve">Die Verantwortliche wird die Identität der betroffenen Person und anschließend – sollte die Identität einwandfrei nachgewiesen worden sein – den Widerspruch inhaltlich prüfen. </w:t>
      </w:r>
    </w:p>
    <w:p>
      <w:pPr>
        <w:pStyle w:val="Normal"/>
        <w:tabs>
          <w:tab w:val="left" w:pos="0" w:leader="none"/>
          <w:tab w:val="left" w:pos="426" w:leader="none"/>
        </w:tabs>
        <w:rPr>
          <w:sz w:val="22"/>
          <w:szCs w:val="22"/>
        </w:rPr>
      </w:pPr>
      <w:r>
        <w:rPr>
          <w:sz w:val="22"/>
          <w:szCs w:val="22"/>
        </w:rPr>
        <w:t>Im Anschluss wird Die Verantwortliche die betroffene Person über die Entscheidung informieren.</w:t>
      </w:r>
    </w:p>
    <w:p>
      <w:pPr>
        <w:pStyle w:val="Berschrift3"/>
        <w:keepNext w:val="true"/>
        <w:keepLines/>
        <w:widowControl/>
        <w:numPr>
          <w:ilvl w:val="2"/>
          <w:numId w:val="4"/>
        </w:numPr>
        <w:tabs>
          <w:tab w:val="left" w:pos="426" w:leader="none"/>
        </w:tabs>
        <w:bidi w:val="0"/>
        <w:spacing w:before="200" w:after="120"/>
        <w:jc w:val="left"/>
        <w:textAlignment w:val="baseline"/>
        <w:rPr>
          <w:b/>
          <w:b/>
          <w:sz w:val="22"/>
          <w:szCs w:val="22"/>
        </w:rPr>
      </w:pPr>
      <w:r>
        <w:rPr>
          <w:b/>
          <w:sz w:val="22"/>
          <w:szCs w:val="22"/>
        </w:rPr>
        <w:t>Meldung an die Behörde</w:t>
      </w:r>
    </w:p>
    <w:p>
      <w:pPr>
        <w:pStyle w:val="Normal"/>
        <w:tabs>
          <w:tab w:val="left" w:pos="426" w:leader="none"/>
        </w:tabs>
        <w:rPr>
          <w:sz w:val="22"/>
          <w:szCs w:val="22"/>
        </w:rPr>
      </w:pPr>
      <w:r>
        <w:rPr>
          <w:rFonts w:cs="Calibri"/>
          <w:sz w:val="22"/>
          <w:szCs w:val="22"/>
        </w:rPr>
        <w:t>Die DSGVO definiert in Art 33 eine „Verletzung des Schutzes personenbezogener Daten“ (data breach) als eine Verletzung der Sicherheit, die, ob unbeabsichtigt oder unrechtmäßig, zur Vernichtung, zum Verlust, zur Veränderung, oder zur unbefugten Offenlegung von beziehungsweise zum unbefugten Zugang zu personenbezogenen Daten führt, die übermittelt, gespeichert oder auf sonstige Weise verarbeitet wurden.</w:t>
      </w:r>
    </w:p>
    <w:p>
      <w:pPr>
        <w:pStyle w:val="Normal"/>
        <w:tabs>
          <w:tab w:val="left" w:pos="426" w:leader="none"/>
        </w:tabs>
        <w:rPr>
          <w:sz w:val="22"/>
          <w:szCs w:val="22"/>
        </w:rPr>
      </w:pPr>
      <w:r>
        <w:rPr>
          <w:sz w:val="22"/>
          <w:szCs w:val="22"/>
        </w:rPr>
        <w:br/>
        <w:t>Im Falle einer Verletzung des Schutzes personenbezogener Daten meldet Die Verantwortliche unverzüglich und möglichst binnen 72 Stunden, nachdem ihm die Verletzung bekannt wurde, diese der österreichischen Datenschutzbehörde, es sei denn, dass die Verletzung des Schutzes personenbezogener Daten voraussichtlich nicht zu einem Risiko für die Rechte und Freiheiten natürlicher Personen führt. Erfolgt die Meldung an die Aufsichtsbehörde nicht binnen 72 Stunden, so ist ihr eine Begründung für die Verzögerung beizufügen.</w:t>
      </w:r>
    </w:p>
    <w:p>
      <w:pPr>
        <w:pStyle w:val="Normal"/>
        <w:tabs>
          <w:tab w:val="left" w:pos="426" w:leader="none"/>
        </w:tabs>
        <w:rPr>
          <w:sz w:val="22"/>
          <w:szCs w:val="22"/>
        </w:rPr>
      </w:pPr>
      <w:r>
        <w:rPr>
          <w:sz w:val="22"/>
          <w:szCs w:val="22"/>
        </w:rPr>
        <w:t xml:space="preserve">Meldung an die Behörde  </w:t>
      </w:r>
      <w:r>
        <w:rPr>
          <w:sz w:val="22"/>
          <w:szCs w:val="22"/>
        </w:rPr>
        <w:t>siehe Vorlage im Anhang</w:t>
      </w:r>
    </w:p>
    <w:p>
      <w:pPr>
        <w:pStyle w:val="Normal"/>
        <w:numPr>
          <w:ilvl w:val="0"/>
          <w:numId w:val="4"/>
        </w:numPr>
        <w:tabs>
          <w:tab w:val="left" w:pos="0" w:leader="none"/>
          <w:tab w:val="left" w:pos="426" w:leader="none"/>
        </w:tabs>
        <w:rPr>
          <w:b/>
          <w:b/>
          <w:sz w:val="22"/>
          <w:szCs w:val="22"/>
        </w:rPr>
      </w:pPr>
      <w:r>
        <w:rPr>
          <w:b/>
          <w:sz w:val="22"/>
          <w:szCs w:val="22"/>
        </w:rPr>
        <w:tab/>
        <w:t xml:space="preserve">Meldung an den Betroffenen </w:t>
      </w:r>
      <w:r>
        <w:rPr>
          <w:b/>
          <w:sz w:val="22"/>
          <w:szCs w:val="22"/>
        </w:rPr>
        <w:t>(siehe Risikoabschätzung)</w:t>
      </w:r>
    </w:p>
    <w:p>
      <w:pPr>
        <w:pStyle w:val="Normal"/>
        <w:tabs>
          <w:tab w:val="left" w:pos="0" w:leader="none"/>
          <w:tab w:val="left" w:pos="426" w:leader="none"/>
        </w:tabs>
        <w:rPr>
          <w:sz w:val="22"/>
          <w:szCs w:val="22"/>
        </w:rPr>
      </w:pPr>
      <w:r>
        <w:rPr>
          <w:sz w:val="22"/>
          <w:szCs w:val="22"/>
        </w:rPr>
        <w:t xml:space="preserve">Hat die Verletzung des Schutzes personenbezogener Daten voraussichtlich ein hohes Risiko für die persönlichen Rechte und Freiheiten natürlicher Personen zur Folge, so benachrichtigt Die Verantwortliche die betroffene Person unverzüglich von der Verletzung. </w:t>
      </w:r>
      <w:r>
        <w:rPr>
          <w:sz w:val="22"/>
          <w:szCs w:val="22"/>
        </w:rPr>
        <w:t>(siehe Anhang)</w:t>
      </w:r>
    </w:p>
    <w:p>
      <w:pPr>
        <w:pStyle w:val="Berschrift2"/>
        <w:numPr>
          <w:ilvl w:val="2"/>
          <w:numId w:val="4"/>
        </w:numPr>
        <w:tabs>
          <w:tab w:val="left" w:pos="426" w:leader="none"/>
        </w:tabs>
        <w:rPr>
          <w:b/>
          <w:b/>
          <w:sz w:val="22"/>
          <w:szCs w:val="22"/>
        </w:rPr>
      </w:pPr>
      <w:bookmarkStart w:id="877" w:name="__RefHeading___Toc47919_274173113"/>
      <w:bookmarkEnd w:id="877"/>
      <w:r>
        <w:rPr>
          <w:b/>
          <w:sz w:val="22"/>
          <w:szCs w:val="22"/>
        </w:rPr>
        <w:t>Dokumentation</w:t>
      </w:r>
    </w:p>
    <w:p>
      <w:pPr>
        <w:pStyle w:val="Textkrper"/>
        <w:numPr>
          <w:ilvl w:val="0"/>
          <w:numId w:val="0"/>
        </w:numPr>
        <w:ind w:left="576" w:hanging="0"/>
        <w:rPr/>
      </w:pPr>
      <w:r>
        <w:rPr>
          <w:bCs/>
          <w:color w:val="000000"/>
          <w:sz w:val="22"/>
          <w:szCs w:val="22"/>
          <w:lang w:eastAsia="de-AT"/>
        </w:rPr>
        <w:t>Ich werde alle Verletzungen des Schutzes personenbezogener Daten einschließlich aller damit im Zusammenhang stehenden Fakten (Auswirkungen, ergriffene Abhilfemaßnahmen) dokumentieren. Diese Dokumentation dient der Aufsichtsbehörde zur Überprüfung der korrekten Einhaltung der Meldepflicht, siehe Art 33 DSGVO.</w:t>
      </w:r>
      <w:bookmarkStart w:id="878" w:name="_Toc501127978"/>
      <w:bookmarkStart w:id="879" w:name="_Toc501360005"/>
      <w:bookmarkStart w:id="880" w:name="_Toc501361225"/>
      <w:bookmarkStart w:id="881" w:name="_Toc501369326"/>
      <w:r>
        <w:rPr>
          <w:rFonts w:asciiTheme="minorHAnsi" w:hAnsiTheme="minorHAnsi"/>
          <w:bCs/>
        </w:rPr>
        <w:br/>
      </w:r>
      <w:bookmarkStart w:id="882" w:name="_Toc501447670"/>
      <w:bookmarkStart w:id="883" w:name="_Toc501469409"/>
      <w:bookmarkStart w:id="884" w:name="_Toc501545423"/>
      <w:bookmarkStart w:id="885" w:name="_Toc501715507"/>
      <w:bookmarkStart w:id="886" w:name="_Toc503168930"/>
      <w:bookmarkStart w:id="887" w:name="_Toc503285704"/>
      <w:bookmarkStart w:id="888" w:name="_Toc503285939"/>
      <w:bookmarkStart w:id="889" w:name="_Toc503781222"/>
      <w:bookmarkStart w:id="890" w:name="_Toc503862785"/>
      <w:bookmarkStart w:id="891" w:name="_Toc503945447"/>
      <w:bookmarkStart w:id="892" w:name="_Toc504155897"/>
      <w:bookmarkStart w:id="893" w:name="_Toc504472811"/>
      <w:bookmarkStart w:id="894" w:name="_Toc505068746"/>
      <w:bookmarkStart w:id="895" w:name="_Toc505255095"/>
      <w:bookmarkStart w:id="896" w:name="_Toc505585764"/>
    </w:p>
    <w:p>
      <w:pPr>
        <w:pStyle w:val="Berschrift3"/>
        <w:numPr>
          <w:ilvl w:val="2"/>
          <w:numId w:val="4"/>
        </w:numPr>
        <w:rPr/>
      </w:pPr>
      <w:bookmarkStart w:id="897" w:name="__RefHeading___Toc12412_3966647769"/>
      <w:bookmarkStart w:id="898" w:name="_Toc511051827"/>
      <w:bookmarkEnd w:id="897"/>
      <w:r>
        <w:rPr>
          <w:lang w:eastAsia="de-AT"/>
        </w:rPr>
        <w:t xml:space="preserve">Profiling </w:t>
      </w:r>
      <w:bookmarkStart w:id="899" w:name="_Toc505870264"/>
      <w:bookmarkStart w:id="900" w:name="_Toc507067672"/>
      <w:bookmarkStart w:id="901" w:name="_Toc50585436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8"/>
      <w:bookmarkEnd w:id="899"/>
      <w:bookmarkEnd w:id="900"/>
      <w:bookmarkEnd w:id="901"/>
    </w:p>
    <w:p>
      <w:pPr>
        <w:pStyle w:val="Normal"/>
        <w:rPr>
          <w:sz w:val="10"/>
        </w:rPr>
      </w:pPr>
      <w:r>
        <w:rPr>
          <w:sz w:val="10"/>
        </w:rPr>
      </w:r>
    </w:p>
    <w:p>
      <w:pPr>
        <w:pStyle w:val="Normal"/>
        <w:jc w:val="both"/>
        <w:rPr/>
      </w:pPr>
      <w:r>
        <w:rPr>
          <w:rFonts w:cs="Calibri"/>
          <w:color w:val="000000"/>
        </w:rPr>
        <w:t>Ich mache kein Profiling .</w:t>
      </w:r>
    </w:p>
    <w:p>
      <w:pPr>
        <w:pStyle w:val="Normal"/>
        <w:jc w:val="both"/>
        <w:rPr/>
      </w:pPr>
      <w:r>
        <w:rPr>
          <w:rFonts w:eastAsia="Times New Roman" w:cs="Calibri"/>
          <w:color w:val="000000"/>
          <w:lang w:eastAsia="de-AT"/>
        </w:rPr>
        <w:t>Referenzen</w:t>
      </w:r>
      <w:r>
        <w:rPr>
          <w:rFonts w:cs="Calibri"/>
          <w:bCs/>
          <w:color w:val="000000"/>
        </w:rPr>
        <w:t xml:space="preserve">: Art 4, Art 8, Art 9 DSGVO; Erwägungsgründe: 26ff, 51ff; § 4 Abs 4 DSG 2018; </w:t>
      </w:r>
    </w:p>
    <w:p>
      <w:pPr>
        <w:pStyle w:val="Berschrift3"/>
        <w:numPr>
          <w:ilvl w:val="2"/>
          <w:numId w:val="4"/>
        </w:numPr>
        <w:jc w:val="both"/>
        <w:rPr/>
      </w:pPr>
      <w:r>
        <w:rPr>
          <w:rFonts w:cs="Calibri"/>
          <w:color w:val="000000"/>
          <w:lang w:eastAsia="de-AT"/>
        </w:rPr>
        <w:t xml:space="preserve">E-Mail-Marketing - </w:t>
      </w:r>
      <w:r>
        <w:rPr>
          <w:rFonts w:cs="Calibri"/>
          <w:color w:val="000000"/>
        </w:rPr>
        <w:t>Recht auf Widerspruch (Art 21 DSGVO)</w:t>
      </w:r>
    </w:p>
    <w:p>
      <w:pPr>
        <w:pStyle w:val="Normal"/>
        <w:jc w:val="both"/>
        <w:rPr/>
      </w:pPr>
      <w:r>
        <w:rPr>
          <w:rFonts w:cs="Calibri"/>
          <w:bCs/>
          <w:color w:val="000000"/>
        </w:rPr>
        <w:t xml:space="preserve">Ich versende keine Newsletter </w:t>
      </w:r>
      <w:r>
        <w:rPr>
          <w:rFonts w:cs="Calibri"/>
          <w:bCs/>
          <w:color w:val="000000"/>
          <w:highlight w:val="yellow"/>
        </w:rPr>
        <w:t>wenn doch, siehe siehe Anhang</w:t>
      </w:r>
      <w:r>
        <w:rPr>
          <w:rFonts w:cs="Calibri"/>
          <w:szCs w:val="24"/>
          <w:lang w:eastAsia="de-AT"/>
        </w:rPr>
        <w:tab/>
      </w:r>
    </w:p>
    <w:p>
      <w:pPr>
        <w:pStyle w:val="Berschrift1"/>
        <w:numPr>
          <w:ilvl w:val="0"/>
          <w:numId w:val="4"/>
        </w:numPr>
        <w:rPr/>
      </w:pPr>
      <w:bookmarkStart w:id="902" w:name="__RefHeading___Toc31887_1491107819"/>
      <w:bookmarkStart w:id="903" w:name="_Toc511051829"/>
      <w:bookmarkStart w:id="904" w:name="_Toc501127988"/>
      <w:bookmarkStart w:id="905" w:name="_Toc507067675"/>
      <w:bookmarkStart w:id="906" w:name="_Toc505870266"/>
      <w:bookmarkStart w:id="907" w:name="_Toc505854369"/>
      <w:bookmarkStart w:id="908" w:name="_Toc505585766"/>
      <w:bookmarkStart w:id="909" w:name="_Toc505255097"/>
      <w:bookmarkStart w:id="910" w:name="_Toc505068748"/>
      <w:bookmarkStart w:id="911" w:name="_Toc504472813"/>
      <w:bookmarkStart w:id="912" w:name="_Toc504155899"/>
      <w:bookmarkStart w:id="913" w:name="_Toc503945449"/>
      <w:bookmarkStart w:id="914" w:name="_Toc503862787"/>
      <w:bookmarkStart w:id="915" w:name="_Toc503781224"/>
      <w:bookmarkStart w:id="916" w:name="_Toc503285941"/>
      <w:bookmarkStart w:id="917" w:name="_Toc503285706"/>
      <w:bookmarkStart w:id="918" w:name="_Toc503168932"/>
      <w:bookmarkStart w:id="919" w:name="_Toc501715509"/>
      <w:bookmarkStart w:id="920" w:name="_Toc501545425"/>
      <w:bookmarkStart w:id="921" w:name="_Toc501469411"/>
      <w:bookmarkStart w:id="922" w:name="_Toc501447672"/>
      <w:bookmarkStart w:id="923" w:name="_Toc501369328"/>
      <w:bookmarkStart w:id="924" w:name="_Toc501361227"/>
      <w:bookmarkStart w:id="925" w:name="_Toc501360007"/>
      <w:bookmarkStart w:id="926" w:name="_Toc513203957"/>
      <w:bookmarkStart w:id="927" w:name="_Toc514867373"/>
      <w:bookmarkStart w:id="928" w:name="_Toc517698079"/>
      <w:bookmarkEnd w:id="902"/>
      <w:r>
        <w:rPr/>
        <w:t>Risikoanalyse</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Normal"/>
        <w:rPr/>
      </w:pPr>
      <w:bookmarkStart w:id="929" w:name="_Toc513203958"/>
      <w:r>
        <w:rPr/>
        <w:t>Referenzen: Art 24 + 25 DSGVO, Erwägungsgründe: 74-78, 81</w:t>
      </w:r>
      <w:bookmarkEnd w:id="929"/>
    </w:p>
    <w:p>
      <w:pPr>
        <w:pStyle w:val="Berschrift2"/>
        <w:numPr>
          <w:ilvl w:val="1"/>
          <w:numId w:val="4"/>
        </w:numPr>
        <w:rPr/>
      </w:pPr>
      <w:bookmarkStart w:id="930" w:name="__RefHeading___Toc31889_1491107819"/>
      <w:bookmarkStart w:id="931" w:name="_Toc501127990"/>
      <w:bookmarkStart w:id="932" w:name="_Toc501360009"/>
      <w:bookmarkStart w:id="933" w:name="_Toc501361229"/>
      <w:bookmarkStart w:id="934" w:name="_Toc501369330"/>
      <w:bookmarkStart w:id="935" w:name="_Toc501447674"/>
      <w:bookmarkStart w:id="936" w:name="_Toc501469413"/>
      <w:bookmarkStart w:id="937" w:name="_Toc501545427"/>
      <w:bookmarkStart w:id="938" w:name="_Toc501715511"/>
      <w:bookmarkStart w:id="939" w:name="_Toc503168934"/>
      <w:bookmarkStart w:id="940" w:name="_Toc503285708"/>
      <w:bookmarkStart w:id="941" w:name="_Toc503285943"/>
      <w:bookmarkStart w:id="942" w:name="_Toc503781226"/>
      <w:bookmarkStart w:id="943" w:name="_Toc503862789"/>
      <w:bookmarkStart w:id="944" w:name="_Toc503945451"/>
      <w:bookmarkStart w:id="945" w:name="_Toc504155901"/>
      <w:bookmarkStart w:id="946" w:name="_Toc504472815"/>
      <w:bookmarkStart w:id="947" w:name="_Toc505068750"/>
      <w:bookmarkStart w:id="948" w:name="_Toc505255099"/>
      <w:bookmarkStart w:id="949" w:name="_Toc511051831"/>
      <w:bookmarkStart w:id="950" w:name="_Toc505585768"/>
      <w:bookmarkStart w:id="951" w:name="_Toc507067677"/>
      <w:bookmarkStart w:id="952" w:name="_Toc505870268"/>
      <w:bookmarkStart w:id="953" w:name="_Toc505854371"/>
      <w:bookmarkStart w:id="954" w:name="_Toc513203959"/>
      <w:bookmarkStart w:id="955" w:name="_Toc514867374"/>
      <w:bookmarkStart w:id="956" w:name="_Toc517698080"/>
      <w:bookmarkEnd w:id="930"/>
      <w:r>
        <w:rPr/>
        <w:t>Risikoanalyse ohne Maßnahmen</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Normal"/>
        <w:jc w:val="both"/>
        <w:rPr/>
      </w:pPr>
      <w:r>
        <w:rPr>
          <w:rFonts w:cs="Calibri"/>
          <w:color w:val="000000"/>
        </w:rPr>
        <w:t>Schutzziele für meine Risikobewertung nach Art 4 Z 12 sind: Vertraulichkeit, Integrität und Verfügbarkeit. Die Risiko-Bewertung erfolgt nach „Schwere“ und „Eintrittswahrscheinlichkeit (EWK)“ (siehe Anleitung)</w:t>
      </w:r>
    </w:p>
    <w:p>
      <w:pPr>
        <w:pStyle w:val="Normal"/>
        <w:jc w:val="both"/>
        <w:rPr/>
      </w:pPr>
      <w:r>
        <w:rPr>
          <w:rFonts w:cs="Calibri"/>
          <w:color w:val="000000"/>
        </w:rPr>
        <w:t>Folgende Daten wurden vorab analysiert und  dann hier in die entsprechenden Kategorien eingetragen:</w:t>
        <w:br/>
      </w:r>
    </w:p>
    <w:p>
      <w:pPr>
        <w:pStyle w:val="Berschrift3"/>
        <w:numPr>
          <w:ilvl w:val="2"/>
          <w:numId w:val="4"/>
        </w:numPr>
        <w:rPr/>
      </w:pPr>
      <w:r>
        <w:rPr/>
        <w:t>Risikokategorien</w:t>
      </w:r>
    </w:p>
    <w:tbl>
      <w:tblPr>
        <w:tblW w:w="850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132"/>
        <w:gridCol w:w="7372"/>
      </w:tblGrid>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160"/>
              <w:jc w:val="center"/>
              <w:rPr>
                <w:rFonts w:cs="Calibri"/>
                <w:b/>
                <w:b/>
              </w:rPr>
            </w:pPr>
            <w:r>
              <w:rPr>
                <w:rFonts w:cs="Calibri"/>
                <w:b/>
              </w:rPr>
              <w:t>Kategorie</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160"/>
              <w:jc w:val="center"/>
              <w:rPr>
                <w:rFonts w:cs="Calibri"/>
                <w:b/>
                <w:b/>
              </w:rPr>
            </w:pPr>
            <w:r>
              <w:rPr>
                <w:rFonts w:cs="Calibri"/>
                <w:b/>
              </w:rPr>
              <w:t>pb Daten</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b/>
                <w:b/>
              </w:rPr>
            </w:pPr>
            <w:r>
              <w:rPr>
                <w:rFonts w:cs="Calibri"/>
                <w:b/>
              </w:rPr>
              <w:t>1</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cs="Calibri"/>
                <w:b/>
              </w:rPr>
              <w:t xml:space="preserve">Besondere Datenkategorien </w:t>
            </w:r>
            <w:r>
              <w:rPr>
                <w:b/>
              </w:rPr>
              <w:t xml:space="preserve">iSd Art 9 </w:t>
            </w:r>
            <w:r>
              <w:rPr>
                <w:rFonts w:cs="Calibri"/>
                <w:b/>
              </w:rPr>
              <w:t>DSGVO</w:t>
            </w:r>
            <w:r>
              <w:rPr>
                <w:rFonts w:cs="Calibri"/>
                <w:b/>
                <w:sz w:val="20"/>
                <w:szCs w:val="20"/>
              </w:rPr>
              <w:br/>
            </w:r>
            <w:r>
              <w:rPr>
                <w:rFonts w:cs="Calibri"/>
                <w:sz w:val="20"/>
                <w:szCs w:val="20"/>
              </w:rPr>
              <w:t>Kinder unter 14 Jahren gem.  Art 8, bzw. DSG 2018, möglicherweise strafrechtliche Daten gem. Art 10; sowie Mitschriften u. Fotos,</w:t>
            </w:r>
            <w:r>
              <w:rPr>
                <w:rFonts w:eastAsia="Times New Roman" w:cs="Calibri"/>
                <w:sz w:val="20"/>
                <w:szCs w:val="20"/>
                <w:lang w:eastAsia="de-AT"/>
              </w:rPr>
              <w:t xml:space="preserve"> </w:t>
            </w:r>
            <w:r>
              <w:rPr>
                <w:rFonts w:eastAsia="Times New Roman" w:cs="Calibri"/>
                <w:sz w:val="20"/>
                <w:lang w:eastAsia="de-AT"/>
              </w:rPr>
              <w:t>Personenstand, Dokumentation</w:t>
            </w:r>
          </w:p>
          <w:p>
            <w:pPr>
              <w:pStyle w:val="Normal"/>
              <w:jc w:val="center"/>
              <w:rPr/>
            </w:pPr>
            <w:r>
              <w:rPr>
                <w:highlight w:val="yellow"/>
              </w:rPr>
              <w:t>Bitte ausfüllen</w:t>
            </w:r>
          </w:p>
          <w:p>
            <w:pPr>
              <w:pStyle w:val="Normal"/>
              <w:widowControl/>
              <w:bidi w:val="0"/>
              <w:spacing w:before="0" w:after="160"/>
              <w:jc w:val="left"/>
              <w:textAlignment w:val="baseline"/>
              <w:rPr/>
            </w:pPr>
            <w:r>
              <w:rPr>
                <w:rFonts w:cs="Calibri"/>
                <w:b/>
                <w:bCs/>
                <w:sz w:val="20"/>
                <w:szCs w:val="20"/>
              </w:rPr>
              <w:t>=&gt; geheim/vertraulich</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b/>
                <w:b/>
              </w:rPr>
            </w:pPr>
            <w:r>
              <w:rPr>
                <w:rFonts w:cs="Calibri"/>
                <w:b/>
              </w:rPr>
              <w:t>2</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cs="Calibri"/>
                <w:sz w:val="20"/>
                <w:szCs w:val="20"/>
              </w:rPr>
              <w:t xml:space="preserve">Schlüssel, Passwörter, … ,  Vertragstext und Geschäftskorrespondenzen, </w:t>
            </w:r>
            <w:r>
              <w:rPr>
                <w:rFonts w:eastAsia="Times New Roman" w:cs="Calibri"/>
                <w:sz w:val="20"/>
                <w:szCs w:val="20"/>
                <w:lang w:eastAsia="de-AT"/>
              </w:rPr>
              <w:t>sonstige Vereinbarungen, Geburtsdatum , Bankverbindungen, Kreditkartennummern und  -unternehmen</w:t>
            </w:r>
          </w:p>
          <w:p>
            <w:pPr>
              <w:pStyle w:val="Normal"/>
              <w:jc w:val="center"/>
              <w:rPr/>
            </w:pPr>
            <w:r>
              <w:rPr>
                <w:highlight w:val="yellow"/>
              </w:rPr>
              <w:t>Bitte ausfüllen</w:t>
            </w:r>
          </w:p>
          <w:p>
            <w:pPr>
              <w:pStyle w:val="Normal"/>
              <w:widowControl/>
              <w:bidi w:val="0"/>
              <w:spacing w:before="0" w:after="160"/>
              <w:jc w:val="left"/>
              <w:textAlignment w:val="baseline"/>
              <w:rPr/>
            </w:pPr>
            <w:r>
              <w:rPr>
                <w:rFonts w:cs="Calibri"/>
                <w:b/>
                <w:bCs/>
                <w:sz w:val="20"/>
                <w:szCs w:val="20"/>
              </w:rPr>
              <w:t>=&gt; geheim</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b/>
              </w:rPr>
              <w:t>3</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eastAsia="Times New Roman" w:cs="Calibri"/>
                <w:sz w:val="20"/>
                <w:lang w:eastAsia="de-AT"/>
              </w:rPr>
              <w:t>Pb Daten mit vernachlässigbaren bis begrenzten  Schutzbedarf, siehe Vorabanalyse in der Anleitung</w:t>
            </w:r>
          </w:p>
          <w:p>
            <w:pPr>
              <w:pStyle w:val="Normal"/>
              <w:jc w:val="center"/>
              <w:rPr/>
            </w:pPr>
            <w:r>
              <w:rPr>
                <w:highlight w:val="yellow"/>
              </w:rPr>
              <w:t>Bitte ausfüllen</w:t>
            </w:r>
          </w:p>
          <w:p>
            <w:pPr>
              <w:pStyle w:val="Normal"/>
              <w:widowControl/>
              <w:bidi w:val="0"/>
              <w:spacing w:before="0" w:after="160"/>
              <w:jc w:val="left"/>
              <w:textAlignment w:val="baseline"/>
              <w:rPr/>
            </w:pPr>
            <w:r>
              <w:rPr>
                <w:rFonts w:eastAsia="Times New Roman" w:cs="Calibri"/>
                <w:b/>
                <w:bCs/>
                <w:sz w:val="20"/>
                <w:lang w:eastAsia="de-AT"/>
              </w:rPr>
              <w:t>=&gt; intern/vertraulich</w:t>
            </w:r>
          </w:p>
        </w:tc>
      </w:tr>
    </w:tbl>
    <w:p>
      <w:pPr>
        <w:pStyle w:val="Normal"/>
        <w:rPr/>
      </w:pPr>
      <w:r>
        <w:rPr/>
      </w:r>
    </w:p>
    <w:p>
      <w:pPr>
        <w:pStyle w:val="Berschrift3"/>
        <w:numPr>
          <w:ilvl w:val="2"/>
          <w:numId w:val="4"/>
        </w:numPr>
        <w:rPr/>
      </w:pPr>
      <w:r>
        <w:rPr/>
        <w:t>Risiko-Matrix</w:t>
      </w:r>
    </w:p>
    <w:tbl>
      <w:tblPr>
        <w:tblW w:w="8788"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754"/>
        <w:gridCol w:w="1632"/>
        <w:gridCol w:w="1501"/>
        <w:gridCol w:w="1602"/>
        <w:gridCol w:w="1523"/>
        <w:gridCol w:w="775"/>
      </w:tblGrid>
      <w:tr>
        <w:trPr>
          <w:trHeight w:val="390"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b/>
                <w:b/>
              </w:rPr>
            </w:pPr>
            <w:r>
              <w:rPr>
                <w:b/>
              </w:rPr>
              <w:t>Schwere</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40"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rFonts w:cs="Calibri"/>
                <w:sz w:val="18"/>
              </w:rPr>
            </w:pPr>
            <w:r>
              <w:rPr>
                <w:rFonts w:cs="Calibri"/>
                <w:sz w:val="18"/>
              </w:rPr>
              <w:t>Existenzgefährdend</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b/>
                <w:b/>
                <w:color w:val="FFFF00"/>
                <w:sz w:val="24"/>
                <w:szCs w:val="24"/>
              </w:rPr>
            </w:pPr>
            <w:r>
              <w:rPr>
                <w:b/>
                <w:color w:val="FFFF00"/>
                <w:sz w:val="24"/>
                <w:szCs w:val="24"/>
              </w:rPr>
              <w:t>1</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17"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Wesentlich</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b/>
                <w:b/>
                <w:color w:val="FFFF00"/>
                <w:sz w:val="24"/>
                <w:szCs w:val="24"/>
              </w:rPr>
            </w:pPr>
            <w:r>
              <w:rPr>
                <w:b/>
                <w:color w:val="FFFF00"/>
                <w:sz w:val="24"/>
                <w:szCs w:val="24"/>
              </w:rPr>
              <w:t>2</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10"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Begrenzt</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b/>
                <w:sz w:val="24"/>
                <w:szCs w:val="24"/>
              </w:rPr>
              <w:t>3</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16"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Vernachlässigbar</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Pr>
          <w:p>
            <w:pPr>
              <w:pStyle w:val="Normal"/>
              <w:spacing w:before="0" w:after="0"/>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Pr>
          <w:p>
            <w:pPr>
              <w:pStyle w:val="Normal"/>
              <w:spacing w:before="0" w:after="0"/>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textAlignment w:val="auto"/>
              <w:rPr/>
            </w:pPr>
            <w:r>
              <w:rPr/>
            </w:r>
          </w:p>
        </w:tc>
      </w:tr>
      <w:tr>
        <w:trPr>
          <w:trHeight w:val="364"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textAlignment w:val="auto"/>
              <w:rPr>
                <w:sz w:val="18"/>
              </w:rPr>
            </w:pPr>
            <w:r>
              <w:rPr>
                <w:sz w:val="18"/>
              </w:rPr>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Vernachlässigbar</w:t>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Möglich</w:t>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Sehr wahrscheinlich</w:t>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Garantiert</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rFonts w:cs="Calibri"/>
                <w:b/>
                <w:b/>
                <w:bCs/>
                <w:sz w:val="20"/>
                <w:szCs w:val="20"/>
              </w:rPr>
            </w:pPr>
            <w:r>
              <w:rPr>
                <w:rFonts w:cs="Calibri"/>
                <w:b/>
                <w:bCs/>
                <w:sz w:val="20"/>
                <w:szCs w:val="20"/>
              </w:rPr>
              <w:t>EWK</w:t>
            </w:r>
          </w:p>
        </w:tc>
      </w:tr>
    </w:tbl>
    <w:p>
      <w:pPr>
        <w:pStyle w:val="Normal"/>
        <w:rPr>
          <w:sz w:val="18"/>
        </w:rPr>
      </w:pPr>
      <w:r>
        <w:rPr>
          <w:sz w:val="18"/>
        </w:rPr>
        <w:t>Quelle: WIFI-Unterlagen zum zertifizierten Datenschutzbeauftragten</w:t>
      </w:r>
    </w:p>
    <w:p>
      <w:pPr>
        <w:pStyle w:val="Normal"/>
        <w:rPr/>
      </w:pPr>
      <w:r>
        <w:rPr>
          <w:b/>
        </w:rPr>
        <w:t xml:space="preserve">Folgen </w:t>
      </w:r>
      <w:r>
        <w:rPr>
          <w:b/>
          <w:u w:val="single"/>
        </w:rPr>
        <w:t>ohne</w:t>
      </w:r>
      <w:r>
        <w:rPr>
          <w:b/>
        </w:rPr>
        <w:t xml:space="preserve"> Maßnahmen:</w:t>
      </w:r>
    </w:p>
    <w:tbl>
      <w:tblPr>
        <w:tblW w:w="8788"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690"/>
        <w:gridCol w:w="2269"/>
        <w:gridCol w:w="3829"/>
      </w:tblGrid>
      <w:tr>
        <w:trPr/>
        <w:tc>
          <w:tcPr>
            <w:tcW w:w="87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textAlignment w:val="auto"/>
              <w:rPr>
                <w:b/>
                <w:b/>
              </w:rPr>
            </w:pPr>
            <w:r>
              <w:rPr>
                <w:b/>
              </w:rPr>
              <w:t>Data Breach</w:t>
            </w:r>
          </w:p>
        </w:tc>
      </w:tr>
      <w:tr>
        <w:trPr/>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rPr>
            </w:pPr>
            <w:r>
              <w:rPr>
                <w:b/>
              </w:rPr>
              <w:t>Kein Risiko</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b/>
                <w:b/>
              </w:rPr>
            </w:pPr>
            <w:r>
              <w:rPr>
                <w:b/>
              </w:rPr>
              <w:t>Risiko</w:t>
            </w:r>
          </w:p>
        </w:tc>
        <w:tc>
          <w:tcPr>
            <w:tcW w:w="3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b/>
                <w:b/>
              </w:rPr>
            </w:pPr>
            <w:r>
              <w:rPr>
                <w:b/>
              </w:rPr>
              <w:t>Hohes Risiko</w:t>
            </w:r>
          </w:p>
        </w:tc>
      </w:tr>
      <w:tr>
        <w:trPr/>
        <w:tc>
          <w:tcPr>
            <w:tcW w:w="49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20"/>
              </w:rPr>
            </w:pPr>
            <w:r>
              <w:rPr>
                <w:sz w:val="20"/>
              </w:rPr>
            </w:r>
          </w:p>
        </w:tc>
        <w:tc>
          <w:tcPr>
            <w:tcW w:w="3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numPr>
                <w:ilvl w:val="0"/>
                <w:numId w:val="16"/>
              </w:numPr>
              <w:rPr/>
            </w:pPr>
            <w:r>
              <w:rPr>
                <w:sz w:val="20"/>
              </w:rPr>
              <w:t xml:space="preserve">Datenschutzbehörde </w:t>
              <w:br/>
            </w:r>
            <w:r>
              <w:rPr>
                <w:b/>
                <w:sz w:val="20"/>
              </w:rPr>
              <w:t>UND</w:t>
            </w:r>
            <w:r>
              <w:rPr>
                <w:sz w:val="20"/>
              </w:rPr>
              <w:t xml:space="preserve"> Betroffene informieren</w:t>
            </w:r>
          </w:p>
          <w:p>
            <w:pPr>
              <w:pStyle w:val="Normal"/>
              <w:numPr>
                <w:ilvl w:val="0"/>
                <w:numId w:val="6"/>
              </w:numPr>
              <w:spacing w:before="0" w:after="160"/>
              <w:rPr>
                <w:sz w:val="20"/>
              </w:rPr>
            </w:pPr>
            <w:r>
              <w:rPr>
                <w:sz w:val="20"/>
              </w:rPr>
              <w:t>Folgeabschätzung notwendig</w:t>
            </w:r>
          </w:p>
        </w:tc>
      </w:tr>
    </w:tbl>
    <w:p>
      <w:pPr>
        <w:pStyle w:val="Berschrift3"/>
        <w:numPr>
          <w:ilvl w:val="2"/>
          <w:numId w:val="4"/>
        </w:numPr>
        <w:rPr/>
      </w:pPr>
      <w:bookmarkStart w:id="957" w:name="__RefHeading___Toc12424_3966647769"/>
      <w:bookmarkStart w:id="958" w:name="_Toc511051833"/>
      <w:bookmarkStart w:id="959" w:name="_Toc503862791"/>
      <w:bookmarkStart w:id="960" w:name="_Toc507067679"/>
      <w:bookmarkStart w:id="961" w:name="_Toc505870270"/>
      <w:bookmarkStart w:id="962" w:name="_Toc505854373"/>
      <w:bookmarkStart w:id="963" w:name="_Toc505585770"/>
      <w:bookmarkStart w:id="964" w:name="_Toc505255101"/>
      <w:bookmarkStart w:id="965" w:name="_Toc505068752"/>
      <w:bookmarkStart w:id="966" w:name="_Toc504472817"/>
      <w:bookmarkStart w:id="967" w:name="_Toc504155903"/>
      <w:bookmarkStart w:id="968" w:name="_Toc503945453"/>
      <w:bookmarkEnd w:id="957"/>
      <w:r>
        <w:rPr/>
        <w:t>Maßnahmen</w:t>
      </w:r>
      <w:bookmarkEnd w:id="958"/>
      <w:bookmarkEnd w:id="959"/>
      <w:bookmarkEnd w:id="960"/>
      <w:bookmarkEnd w:id="961"/>
      <w:bookmarkEnd w:id="962"/>
      <w:bookmarkEnd w:id="963"/>
      <w:bookmarkEnd w:id="964"/>
      <w:bookmarkEnd w:id="965"/>
      <w:bookmarkEnd w:id="966"/>
      <w:bookmarkEnd w:id="967"/>
      <w:bookmarkEnd w:id="968"/>
    </w:p>
    <w:p>
      <w:pPr>
        <w:pStyle w:val="Normal"/>
        <w:rPr/>
      </w:pPr>
      <w:bookmarkStart w:id="969" w:name="__RefHeading___Toc24014_2257849036"/>
      <w:bookmarkEnd w:id="969"/>
      <w:r>
        <w:rPr/>
        <w:t xml:space="preserve">Siehe TOMs, insbesondere  </w:t>
      </w:r>
      <w:r>
        <w:rPr>
          <w:rFonts w:cs="Calibri"/>
          <w:b/>
          <w:bCs/>
        </w:rPr>
        <w:t>Verschlüsselung am Datenträger (encryption of data in rest), bei der Übertragung (data in motion) und Backup!</w:t>
      </w:r>
    </w:p>
    <w:p>
      <w:pPr>
        <w:pStyle w:val="Berschrift3"/>
        <w:numPr>
          <w:ilvl w:val="2"/>
          <w:numId w:val="4"/>
        </w:numPr>
        <w:rPr/>
      </w:pPr>
      <w:bookmarkStart w:id="970" w:name="__RefHeading___Toc12426_3966647769"/>
      <w:bookmarkStart w:id="971" w:name="_Toc511051834"/>
      <w:bookmarkStart w:id="972" w:name="_Toc501127993"/>
      <w:bookmarkStart w:id="973" w:name="_Toc507067680"/>
      <w:bookmarkStart w:id="974" w:name="_Toc505870271"/>
      <w:bookmarkStart w:id="975" w:name="_Toc505854374"/>
      <w:bookmarkStart w:id="976" w:name="_Toc505585771"/>
      <w:bookmarkStart w:id="977" w:name="_Toc505255102"/>
      <w:bookmarkStart w:id="978" w:name="_Toc505068753"/>
      <w:bookmarkStart w:id="979" w:name="_Toc504472818"/>
      <w:bookmarkStart w:id="980" w:name="_Toc504155904"/>
      <w:bookmarkStart w:id="981" w:name="_Toc503945454"/>
      <w:bookmarkStart w:id="982" w:name="_Toc503862792"/>
      <w:bookmarkStart w:id="983" w:name="_Toc503781229"/>
      <w:bookmarkStart w:id="984" w:name="_Toc503285946"/>
      <w:bookmarkStart w:id="985" w:name="_Toc503285711"/>
      <w:bookmarkStart w:id="986" w:name="_Toc503168937"/>
      <w:bookmarkStart w:id="987" w:name="_Toc501715514"/>
      <w:bookmarkStart w:id="988" w:name="_Toc501545430"/>
      <w:bookmarkStart w:id="989" w:name="_Toc501469416"/>
      <w:bookmarkStart w:id="990" w:name="_Toc501447677"/>
      <w:bookmarkStart w:id="991" w:name="_Toc501369333"/>
      <w:bookmarkStart w:id="992" w:name="_Toc501361232"/>
      <w:bookmarkStart w:id="993" w:name="_Toc501360012"/>
      <w:bookmarkEnd w:id="970"/>
      <w:r>
        <w:rPr/>
        <w:t>Vertraulichkeit</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Normal"/>
        <w:numPr>
          <w:ilvl w:val="0"/>
          <w:numId w:val="17"/>
        </w:numPr>
        <w:rPr/>
      </w:pPr>
      <w:r>
        <w:rPr>
          <w:rFonts w:cs="Calibri"/>
          <w:b/>
        </w:rPr>
        <w:t>Zutrittskontrolle:</w:t>
      </w:r>
      <w:r>
        <w:rPr>
          <w:rFonts w:cs="Calibri"/>
        </w:rPr>
        <w:t xml:space="preserve"> Schutz vor unbefugtem Zutritt zu Datenverarbeitungsanlagen mit Schlüssel</w:t>
      </w:r>
    </w:p>
    <w:p>
      <w:pPr>
        <w:pStyle w:val="Normal"/>
        <w:numPr>
          <w:ilvl w:val="0"/>
          <w:numId w:val="18"/>
        </w:numPr>
        <w:jc w:val="both"/>
        <w:rPr/>
      </w:pPr>
      <w:r>
        <w:rPr>
          <w:rFonts w:cs="Calibri"/>
          <w:b/>
        </w:rPr>
        <w:t>Zugangskontrolle</w:t>
      </w:r>
      <w:r>
        <w:rPr>
          <w:rFonts w:cs="Calibri"/>
        </w:rPr>
        <w:t xml:space="preserve">: Schutz vor unbefugter Systembenutzung mit Kennwörter, automatische Sperrmechanismen,  </w:t>
      </w:r>
      <w:r>
        <w:rPr>
          <w:rFonts w:cs="Calibri"/>
          <w:color w:val="000000"/>
        </w:rPr>
        <w:t xml:space="preserve">Verschlüsselung von Data in Rest und Motion </w:t>
      </w:r>
      <w:r>
        <w:rPr>
          <w:rFonts w:cs="Calibri"/>
        </w:rPr>
        <w:t>und somit keine Weiterleitung ohne sichere und verschlüsselter Übertragung bzw. RSB  - Einzelpraxis</w:t>
      </w:r>
    </w:p>
    <w:p>
      <w:pPr>
        <w:pStyle w:val="Normal"/>
        <w:numPr>
          <w:ilvl w:val="0"/>
          <w:numId w:val="7"/>
        </w:numPr>
        <w:rPr/>
      </w:pPr>
      <w:r>
        <w:rPr>
          <w:rFonts w:cs="Calibri"/>
          <w:b/>
        </w:rPr>
        <w:t>Zugriffskontrolle</w:t>
      </w:r>
      <w:r>
        <w:rPr>
          <w:rFonts w:cs="Calibri"/>
        </w:rPr>
        <w:t>: Zugriff nur durch Verantwortlichen - Einzelpraxis</w:t>
      </w:r>
    </w:p>
    <w:p>
      <w:pPr>
        <w:pStyle w:val="Berschrift3"/>
        <w:numPr>
          <w:ilvl w:val="2"/>
          <w:numId w:val="4"/>
        </w:numPr>
        <w:rPr/>
      </w:pPr>
      <w:bookmarkStart w:id="994" w:name="__RefHeading___Toc12428_3966647769"/>
      <w:bookmarkStart w:id="995" w:name="_Toc511051835"/>
      <w:bookmarkStart w:id="996" w:name="_Toc501127994"/>
      <w:bookmarkStart w:id="997" w:name="_Toc507067681"/>
      <w:bookmarkStart w:id="998" w:name="_Toc505870272"/>
      <w:bookmarkStart w:id="999" w:name="_Toc505854375"/>
      <w:bookmarkStart w:id="1000" w:name="_Toc505585772"/>
      <w:bookmarkStart w:id="1001" w:name="_Toc505255103"/>
      <w:bookmarkStart w:id="1002" w:name="_Toc505068754"/>
      <w:bookmarkStart w:id="1003" w:name="_Toc504472819"/>
      <w:bookmarkStart w:id="1004" w:name="_Toc504155905"/>
      <w:bookmarkStart w:id="1005" w:name="_Toc503945455"/>
      <w:bookmarkStart w:id="1006" w:name="_Toc503862793"/>
      <w:bookmarkStart w:id="1007" w:name="_Toc503781230"/>
      <w:bookmarkStart w:id="1008" w:name="_Toc503285947"/>
      <w:bookmarkStart w:id="1009" w:name="_Toc503285712"/>
      <w:bookmarkStart w:id="1010" w:name="_Toc503168938"/>
      <w:bookmarkStart w:id="1011" w:name="_Toc501715515"/>
      <w:bookmarkStart w:id="1012" w:name="_Toc501545431"/>
      <w:bookmarkStart w:id="1013" w:name="_Toc501469417"/>
      <w:bookmarkStart w:id="1014" w:name="_Toc501447678"/>
      <w:bookmarkStart w:id="1015" w:name="_Toc501369334"/>
      <w:bookmarkStart w:id="1016" w:name="_Toc501361233"/>
      <w:bookmarkStart w:id="1017" w:name="_Toc501360013"/>
      <w:bookmarkEnd w:id="994"/>
      <w:r>
        <w:rPr/>
        <w:t>Integrität</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Normal"/>
        <w:numPr>
          <w:ilvl w:val="0"/>
          <w:numId w:val="19"/>
        </w:numPr>
        <w:rPr/>
      </w:pPr>
      <w:r>
        <w:rPr>
          <w:rFonts w:cs="Calibri"/>
          <w:b/>
        </w:rPr>
        <w:t>Eingabekontrolle</w:t>
      </w:r>
      <w:r>
        <w:rPr>
          <w:rFonts w:cs="Calibri"/>
        </w:rPr>
        <w:t>: Personenbezogene Daten in das Datenverarbeitungssysteme werden ausschließlich vom Verantwortlichen eingegeben, verändert oder entfernt, Dokumentenmanagement  - Einzelpraxis</w:t>
      </w:r>
    </w:p>
    <w:p>
      <w:pPr>
        <w:pStyle w:val="Berschrift3"/>
        <w:numPr>
          <w:ilvl w:val="2"/>
          <w:numId w:val="4"/>
        </w:numPr>
        <w:rPr/>
      </w:pPr>
      <w:bookmarkStart w:id="1018" w:name="__RefHeading___Toc12430_3966647769"/>
      <w:bookmarkStart w:id="1019" w:name="_Toc511051836"/>
      <w:bookmarkStart w:id="1020" w:name="_Toc501127995"/>
      <w:bookmarkStart w:id="1021" w:name="_Toc507067682"/>
      <w:bookmarkStart w:id="1022" w:name="_Toc505870273"/>
      <w:bookmarkStart w:id="1023" w:name="_Toc505854376"/>
      <w:bookmarkStart w:id="1024" w:name="_Toc505585773"/>
      <w:bookmarkStart w:id="1025" w:name="_Toc505255104"/>
      <w:bookmarkStart w:id="1026" w:name="_Toc505068755"/>
      <w:bookmarkStart w:id="1027" w:name="_Toc504472820"/>
      <w:bookmarkStart w:id="1028" w:name="_Toc504155906"/>
      <w:bookmarkStart w:id="1029" w:name="_Toc503945456"/>
      <w:bookmarkStart w:id="1030" w:name="_Toc503862794"/>
      <w:bookmarkStart w:id="1031" w:name="_Toc503781231"/>
      <w:bookmarkStart w:id="1032" w:name="_Toc503285948"/>
      <w:bookmarkStart w:id="1033" w:name="_Toc503285713"/>
      <w:bookmarkStart w:id="1034" w:name="_Toc503168939"/>
      <w:bookmarkStart w:id="1035" w:name="_Toc501715516"/>
      <w:bookmarkStart w:id="1036" w:name="_Toc501545432"/>
      <w:bookmarkStart w:id="1037" w:name="_Toc501469418"/>
      <w:bookmarkStart w:id="1038" w:name="_Toc501447679"/>
      <w:bookmarkStart w:id="1039" w:name="_Toc501369335"/>
      <w:bookmarkStart w:id="1040" w:name="_Toc501361234"/>
      <w:bookmarkStart w:id="1041" w:name="_Toc501360014"/>
      <w:bookmarkEnd w:id="1018"/>
      <w:r>
        <w:rPr/>
        <w:t>Verfügbarkeit</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Normal"/>
        <w:numPr>
          <w:ilvl w:val="0"/>
          <w:numId w:val="20"/>
        </w:numPr>
        <w:spacing w:before="0" w:after="0"/>
        <w:jc w:val="both"/>
        <w:textAlignment w:val="auto"/>
        <w:rPr/>
      </w:pPr>
      <w:r>
        <w:rPr>
          <w:b/>
        </w:rPr>
        <w:t>Verfügbarkeitskontrolle</w:t>
      </w:r>
      <w:r>
        <w:rPr/>
        <w:t>: Schutz gegen zufällige oder mutwillige Zerstörung bzw. Verlust, Virenschutz, Firewall, Sicherungskonzept mit verschlüsselter Lagerung der Sicherungen</w:t>
      </w:r>
    </w:p>
    <w:p>
      <w:pPr>
        <w:pStyle w:val="Normal"/>
        <w:numPr>
          <w:ilvl w:val="0"/>
          <w:numId w:val="3"/>
        </w:numPr>
        <w:spacing w:before="0" w:after="0"/>
        <w:jc w:val="both"/>
        <w:textAlignment w:val="auto"/>
        <w:rPr/>
      </w:pPr>
      <w:r>
        <w:rPr/>
        <w:t xml:space="preserve">Rasche </w:t>
      </w:r>
      <w:r>
        <w:rPr>
          <w:b/>
        </w:rPr>
        <w:t>Wiederherstellbarkeit</w:t>
      </w:r>
      <w:r>
        <w:rPr/>
        <w:t>: Backup mindestens wöchentlich, am besten täglich</w:t>
      </w:r>
    </w:p>
    <w:p>
      <w:pPr>
        <w:pStyle w:val="Berschrift2"/>
        <w:numPr>
          <w:ilvl w:val="1"/>
          <w:numId w:val="4"/>
        </w:numPr>
        <w:rPr/>
      </w:pPr>
      <w:bookmarkStart w:id="1042" w:name="__RefHeading___Toc31891_1491107819"/>
      <w:bookmarkStart w:id="1043" w:name="_Toc511051837"/>
      <w:bookmarkStart w:id="1044" w:name="_Toc501127997"/>
      <w:bookmarkStart w:id="1045" w:name="_Toc507067683"/>
      <w:bookmarkStart w:id="1046" w:name="_Toc505870274"/>
      <w:bookmarkStart w:id="1047" w:name="_Toc505854377"/>
      <w:bookmarkStart w:id="1048" w:name="_Toc505585774"/>
      <w:bookmarkStart w:id="1049" w:name="_Toc505255105"/>
      <w:bookmarkStart w:id="1050" w:name="_Toc505068756"/>
      <w:bookmarkStart w:id="1051" w:name="_Toc504472821"/>
      <w:bookmarkStart w:id="1052" w:name="_Toc504155907"/>
      <w:bookmarkStart w:id="1053" w:name="_Toc503945457"/>
      <w:bookmarkStart w:id="1054" w:name="_Toc503862795"/>
      <w:bookmarkStart w:id="1055" w:name="_Toc503781232"/>
      <w:bookmarkStart w:id="1056" w:name="_Toc503285949"/>
      <w:bookmarkStart w:id="1057" w:name="_Toc503285714"/>
      <w:bookmarkStart w:id="1058" w:name="_Toc503168940"/>
      <w:bookmarkStart w:id="1059" w:name="_Toc501715517"/>
      <w:bookmarkStart w:id="1060" w:name="_Toc501545433"/>
      <w:bookmarkStart w:id="1061" w:name="_Toc501469419"/>
      <w:bookmarkStart w:id="1062" w:name="_Toc501447680"/>
      <w:bookmarkStart w:id="1063" w:name="_Toc501369336"/>
      <w:bookmarkStart w:id="1064" w:name="_Toc501361235"/>
      <w:bookmarkStart w:id="1065" w:name="_Toc501360015"/>
      <w:bookmarkStart w:id="1066" w:name="_Toc513203960"/>
      <w:bookmarkStart w:id="1067" w:name="_Toc514867375"/>
      <w:bookmarkStart w:id="1068" w:name="_Toc517698081"/>
      <w:bookmarkEnd w:id="1042"/>
      <w:r>
        <w:rPr/>
        <w:t>Risiko-Matrix mit Maßnahmen</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Normal"/>
        <w:rPr/>
      </w:pPr>
      <w:r>
        <w:rPr>
          <w:highlight w:val="yellow"/>
        </w:rPr>
        <w:t xml:space="preserve">Bitte hier die Kategorien 1, 2, 3 gemäß Ihrer Maßnahmen überprüfen  </w:t>
      </w:r>
      <w:r>
        <w:rPr>
          <w:b/>
          <w:bCs/>
          <w:color w:val="00A65D"/>
        </w:rPr>
        <w:t xml:space="preserve">sollten im grünen </w:t>
      </w:r>
      <w:r>
        <w:rPr>
          <w:b/>
          <w:bCs/>
          <w:color w:val="00A65D"/>
        </w:rPr>
        <w:t>bzw gelben</w:t>
      </w:r>
      <w:r>
        <w:rPr>
          <w:b/>
          <w:bCs/>
          <w:color w:val="00A65D"/>
        </w:rPr>
        <w:t xml:space="preserve"> Bereich sein</w:t>
      </w:r>
    </w:p>
    <w:tbl>
      <w:tblPr>
        <w:tblW w:w="8980"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848"/>
        <w:gridCol w:w="1726"/>
        <w:gridCol w:w="1502"/>
        <w:gridCol w:w="1607"/>
        <w:gridCol w:w="1524"/>
        <w:gridCol w:w="772"/>
      </w:tblGrid>
      <w:tr>
        <w:trPr>
          <w:trHeight w:val="302"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b/>
                <w:b/>
              </w:rPr>
            </w:pPr>
            <w:r>
              <w:rPr>
                <w:b/>
              </w:rPr>
              <w:t>Schwere</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06"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rFonts w:cs="Calibri"/>
                <w:sz w:val="18"/>
              </w:rPr>
            </w:pPr>
            <w:r>
              <w:rPr>
                <w:rFonts w:cs="Calibri"/>
                <w:sz w:val="18"/>
              </w:rPr>
              <w:t>Existenzgefährdend</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pPr>
            <w:r>
              <w:rPr/>
            </w:r>
          </w:p>
        </w:tc>
        <w:tc>
          <w:tcPr>
            <w:tcW w:w="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215"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Wesentlich</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pPr>
            <w:r>
              <w:rPr/>
            </w:r>
          </w:p>
        </w:tc>
        <w:tc>
          <w:tcPr>
            <w:tcW w:w="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02"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Begrenzt</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sz w:val="24"/>
              </w:rPr>
            </w:pPr>
            <w:r>
              <w:rPr>
                <w:b/>
                <w:sz w:val="24"/>
              </w:rPr>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b/>
                <w:b/>
                <w:sz w:val="24"/>
              </w:rPr>
            </w:pPr>
            <w:r>
              <w:rPr>
                <w:b/>
                <w:sz w:val="24"/>
              </w:rPr>
              <w:t>1</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21"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Vernachlässigbar</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sz w:val="24"/>
              </w:rPr>
            </w:pPr>
            <w:r>
              <w:rPr>
                <w:b/>
                <w:sz w:val="24"/>
              </w:rPr>
              <w:t>3</w:t>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sz w:val="24"/>
              </w:rPr>
            </w:pPr>
            <w:r>
              <w:rPr>
                <w:b/>
                <w:sz w:val="24"/>
              </w:rPr>
              <w:t>2</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textAlignment w:val="auto"/>
              <w:rPr/>
            </w:pPr>
            <w:r>
              <w:rPr/>
            </w:r>
          </w:p>
        </w:tc>
      </w:tr>
      <w:tr>
        <w:trPr>
          <w:trHeight w:val="360"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textAlignment w:val="auto"/>
              <w:rPr>
                <w:sz w:val="18"/>
              </w:rPr>
            </w:pPr>
            <w:r>
              <w:rPr>
                <w:sz w:val="18"/>
              </w:rPr>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Vernachlässigbar</w:t>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Möglich</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Sehr wahrscheinlich</w:t>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Garantiert</w:t>
            </w:r>
          </w:p>
        </w:tc>
        <w:tc>
          <w:tcPr>
            <w:tcW w:w="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rFonts w:cs="Calibri"/>
                <w:b/>
                <w:b/>
                <w:bCs/>
                <w:sz w:val="20"/>
                <w:szCs w:val="20"/>
              </w:rPr>
            </w:pPr>
            <w:r>
              <w:rPr>
                <w:rFonts w:cs="Calibri"/>
                <w:b/>
                <w:bCs/>
                <w:sz w:val="20"/>
                <w:szCs w:val="20"/>
              </w:rPr>
              <w:t>EWK</w:t>
            </w:r>
          </w:p>
        </w:tc>
      </w:tr>
    </w:tbl>
    <w:p>
      <w:pPr>
        <w:pStyle w:val="Berschrift3"/>
        <w:numPr>
          <w:ilvl w:val="2"/>
          <w:numId w:val="4"/>
        </w:numPr>
        <w:rPr/>
      </w:pPr>
      <w:bookmarkStart w:id="1069" w:name="__RefHeading___Toc12434_3966647769"/>
      <w:bookmarkStart w:id="1070" w:name="_Toc511051838"/>
      <w:bookmarkStart w:id="1071" w:name="_Toc503781233"/>
      <w:bookmarkStart w:id="1072" w:name="_Toc507067684"/>
      <w:bookmarkStart w:id="1073" w:name="_Toc505870275"/>
      <w:bookmarkStart w:id="1074" w:name="_Toc505854378"/>
      <w:bookmarkStart w:id="1075" w:name="_Toc505585775"/>
      <w:bookmarkStart w:id="1076" w:name="_Toc505255106"/>
      <w:bookmarkStart w:id="1077" w:name="_Toc505068757"/>
      <w:bookmarkStart w:id="1078" w:name="_Toc504472822"/>
      <w:bookmarkStart w:id="1079" w:name="_Toc504155908"/>
      <w:bookmarkStart w:id="1080" w:name="_Toc503945458"/>
      <w:bookmarkStart w:id="1081" w:name="_Toc503862796"/>
      <w:bookmarkEnd w:id="1069"/>
      <w:r>
        <w:rPr/>
        <w:t>Folgen der Maßnahmen betreffs Risiko</w:t>
      </w:r>
      <w:bookmarkEnd w:id="1070"/>
      <w:bookmarkEnd w:id="1071"/>
      <w:bookmarkEnd w:id="1072"/>
      <w:bookmarkEnd w:id="1073"/>
      <w:bookmarkEnd w:id="1074"/>
      <w:bookmarkEnd w:id="1075"/>
      <w:bookmarkEnd w:id="1076"/>
      <w:bookmarkEnd w:id="1077"/>
      <w:bookmarkEnd w:id="1078"/>
      <w:bookmarkEnd w:id="1079"/>
      <w:bookmarkEnd w:id="1080"/>
      <w:bookmarkEnd w:id="1081"/>
    </w:p>
    <w:tbl>
      <w:tblPr>
        <w:tblW w:w="8788"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3369"/>
        <w:gridCol w:w="3119"/>
        <w:gridCol w:w="2300"/>
      </w:tblGrid>
      <w:tr>
        <w:trPr/>
        <w:tc>
          <w:tcPr>
            <w:tcW w:w="87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textAlignment w:val="auto"/>
              <w:rPr>
                <w:b/>
                <w:b/>
              </w:rPr>
            </w:pPr>
            <w:r>
              <w:rPr>
                <w:b/>
              </w:rPr>
              <w:t>Data Breach</w:t>
            </w:r>
          </w:p>
        </w:tc>
      </w:tr>
      <w:tr>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rPr>
            </w:pPr>
            <w:r>
              <w:rPr>
                <w:b/>
              </w:rPr>
              <w:t>Kein Risiko</w:t>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b/>
                <w:b/>
              </w:rPr>
            </w:pPr>
            <w:r>
              <w:rPr>
                <w:b/>
              </w:rPr>
              <w:t>Risiko</w:t>
            </w:r>
          </w:p>
        </w:tc>
        <w:tc>
          <w:tcPr>
            <w:tcW w:w="2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b/>
                <w:b/>
              </w:rPr>
            </w:pPr>
            <w:r>
              <w:rPr>
                <w:b/>
              </w:rPr>
              <w:t>Hohes Risiko</w:t>
            </w:r>
          </w:p>
        </w:tc>
      </w:tr>
      <w:tr>
        <w:trPr>
          <w:trHeight w:val="420" w:hRule="atLeast"/>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vAlign w:val="center"/>
          </w:tcPr>
          <w:p>
            <w:pPr>
              <w:pStyle w:val="Normal"/>
              <w:numPr>
                <w:ilvl w:val="0"/>
                <w:numId w:val="21"/>
              </w:numPr>
              <w:spacing w:before="0" w:after="160"/>
              <w:rPr>
                <w:rFonts w:cs="Calibri"/>
                <w:sz w:val="20"/>
              </w:rPr>
            </w:pPr>
            <w:r>
              <w:rPr>
                <w:rFonts w:cs="Calibri"/>
                <w:sz w:val="20"/>
              </w:rPr>
              <w:t>Datenschutzbehörde informieren</w:t>
            </w:r>
          </w:p>
        </w:tc>
        <w:tc>
          <w:tcPr>
            <w:tcW w:w="23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20"/>
              </w:rPr>
            </w:pPr>
            <w:r>
              <w:rPr>
                <w:sz w:val="20"/>
              </w:rPr>
            </w:r>
          </w:p>
        </w:tc>
      </w:tr>
      <w:tr>
        <w:trPr>
          <w:trHeight w:val="420" w:hRule="atLeast"/>
        </w:trPr>
        <w:tc>
          <w:tcPr>
            <w:tcW w:w="6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ind w:left="360" w:hanging="0"/>
              <w:jc w:val="center"/>
              <w:rPr/>
            </w:pPr>
            <w:r>
              <w:rPr>
                <w:rFonts w:cs="Calibri"/>
                <w:b/>
                <w:bCs/>
                <w:sz w:val="20"/>
              </w:rPr>
              <w:t>Betroffene sind nicht zu informieren</w:t>
              <w:br/>
            </w:r>
            <w:r>
              <w:rPr>
                <w:rFonts w:cs="Calibri"/>
                <w:sz w:val="20"/>
              </w:rPr>
              <w:t>Keine Folgenabschätzung notwendig</w:t>
            </w:r>
          </w:p>
        </w:tc>
        <w:tc>
          <w:tcPr>
            <w:tcW w:w="23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rPr/>
            </w:pPr>
            <w:r>
              <w:rPr/>
            </w:r>
          </w:p>
        </w:tc>
      </w:tr>
    </w:tbl>
    <w:p>
      <w:pPr>
        <w:pStyle w:val="Normal"/>
        <w:rPr>
          <w:sz w:val="16"/>
        </w:rPr>
      </w:pPr>
      <w:r>
        <w:rPr>
          <w:sz w:val="16"/>
        </w:rPr>
      </w:r>
    </w:p>
    <w:p>
      <w:pPr>
        <w:pStyle w:val="Normal"/>
        <w:rPr/>
      </w:pPr>
      <w:r>
        <w:rPr/>
        <w:t xml:space="preserve">Aufgrund der gesetzten TOMs muss bei einem Data Breach der </w:t>
      </w:r>
      <w:r>
        <w:rPr>
          <w:u w:val="single"/>
        </w:rPr>
        <w:t>betroffene Klient nicht informiert</w:t>
      </w:r>
      <w:r>
        <w:rPr/>
        <w:t xml:space="preserve"> werden, </w:t>
      </w:r>
      <w:r>
        <w:rPr>
          <w:color w:val="000000"/>
        </w:rPr>
        <w:t>nichts desto trotz muss die Behörde bei Data Breach mit Risiko für pb Daten der Kategorie 1 informiert.</w:t>
        <w:br/>
      </w:r>
      <w:r>
        <w:rPr/>
        <w:t>Referenzen: Art 22 + 35 DSGVO, Erwägungsgründe: 76, 84 und 89 – 93, Working Paper 240 der Art 29 Gruppe</w:t>
      </w:r>
    </w:p>
    <w:p>
      <w:pPr>
        <w:pStyle w:val="Berschrift1"/>
        <w:numPr>
          <w:ilvl w:val="0"/>
          <w:numId w:val="4"/>
        </w:numPr>
        <w:rPr/>
      </w:pPr>
      <w:bookmarkStart w:id="1082" w:name="__RefHeading___Toc31893_1491107819"/>
      <w:bookmarkStart w:id="1083" w:name="_Toc511051840"/>
      <w:bookmarkStart w:id="1084" w:name="_Toc505870280"/>
      <w:bookmarkStart w:id="1085" w:name="_Toc507067689"/>
      <w:bookmarkStart w:id="1086" w:name="_Toc513203961"/>
      <w:bookmarkStart w:id="1087" w:name="_Toc514867376"/>
      <w:bookmarkStart w:id="1088" w:name="_Toc517698082"/>
      <w:bookmarkEnd w:id="1082"/>
      <w:r>
        <w:rPr/>
        <w:t>Zusammenfassung</w:t>
      </w:r>
      <w:bookmarkEnd w:id="1083"/>
      <w:bookmarkEnd w:id="1084"/>
      <w:bookmarkEnd w:id="1085"/>
      <w:bookmarkEnd w:id="1086"/>
      <w:bookmarkEnd w:id="1087"/>
      <w:bookmarkEnd w:id="1088"/>
    </w:p>
    <w:p>
      <w:pPr>
        <w:pStyle w:val="Normal"/>
        <w:jc w:val="both"/>
        <w:rPr>
          <w:color w:val="CE181E"/>
        </w:rPr>
      </w:pPr>
      <w:r>
        <w:rPr>
          <w:rFonts w:cs="Calibri"/>
          <w:color w:val="CE181E"/>
        </w:rPr>
        <w:t>I</w:t>
      </w:r>
      <w:r>
        <w:rPr>
          <w:rFonts w:cs="Calibri"/>
          <w:color w:val="000000"/>
        </w:rPr>
        <w:t xml:space="preserve">ch sehe das hier dokumentierte Datenschutzniveau vor allem mit der Trennung der Verarbeitungskreisen und mit den gesetzten TOMs für mich als Therapeut und EPU (siehe Allgemeiner Teil) auch aufgrund meiner finanziellen, technischen und organisatorischen Beschränkungen als </w:t>
      </w:r>
      <w:r>
        <w:rPr>
          <w:rFonts w:cs="Calibri"/>
          <w:b/>
          <w:color w:val="000000"/>
        </w:rPr>
        <w:t>angemessen und ausreichend</w:t>
      </w:r>
      <w:r>
        <w:rPr>
          <w:rFonts w:cs="Calibri"/>
          <w:color w:val="000000"/>
        </w:rPr>
        <w:t xml:space="preserve"> an.</w:t>
      </w:r>
    </w:p>
    <w:p>
      <w:pPr>
        <w:pStyle w:val="Normal"/>
        <w:jc w:val="both"/>
        <w:rPr>
          <w:color w:val="CE181E"/>
        </w:rPr>
      </w:pPr>
      <w:r>
        <w:rPr>
          <w:rFonts w:cs="Calibri"/>
          <w:color w:val="000000"/>
        </w:rPr>
        <w:t>Ich kann so gegenüber meinen Klienten mit gutem Gewissen sagen</w:t>
      </w:r>
      <w:r>
        <w:rPr>
          <w:rFonts w:cs="Calibri"/>
          <w:color w:val="000000"/>
          <w:sz w:val="24"/>
        </w:rPr>
        <w:t>:</w:t>
      </w:r>
    </w:p>
    <w:p>
      <w:pPr>
        <w:pStyle w:val="Normal"/>
        <w:numPr>
          <w:ilvl w:val="0"/>
          <w:numId w:val="0"/>
        </w:numPr>
        <w:ind w:left="851" w:right="1275" w:hanging="0"/>
        <w:jc w:val="both"/>
        <w:outlineLvl w:val="0"/>
        <w:rPr>
          <w:i/>
          <w:i/>
          <w:color w:val="000000"/>
        </w:rPr>
      </w:pPr>
      <w:r>
        <w:rPr>
          <w:i/>
          <w:color w:val="000000"/>
        </w:rPr>
      </w:r>
    </w:p>
    <w:p>
      <w:pPr>
        <w:pStyle w:val="Normal"/>
        <w:ind w:left="851" w:right="1276" w:hanging="0"/>
        <w:jc w:val="both"/>
        <w:rPr/>
      </w:pPr>
      <w:bookmarkStart w:id="1089" w:name="__RefHeading___Toc24016_2257849036"/>
      <w:bookmarkEnd w:id="1089"/>
      <w:r>
        <w:rPr>
          <w:i/>
          <w:color w:val="000000"/>
        </w:rPr>
        <w:t>Liebe Klienten und Klientinnen</w:t>
      </w:r>
      <w:r>
        <w:rPr>
          <w:i/>
          <w:color w:val="CE181E"/>
        </w:rPr>
        <w:t>!</w:t>
      </w:r>
    </w:p>
    <w:p>
      <w:pPr>
        <w:pStyle w:val="Normal"/>
        <w:ind w:left="851" w:right="1276" w:hanging="0"/>
        <w:jc w:val="both"/>
        <w:rPr>
          <w:i/>
          <w:i/>
          <w:color w:val="CE181E"/>
        </w:rPr>
      </w:pPr>
      <w:r>
        <w:rPr>
          <w:i/>
          <w:color w:val="000000"/>
        </w:rPr>
        <w:t>Vertrauen zwischen mir als Verantwortliche und Ihnen ist die Grundlage und Voraussetzung für meine Beratung, daher sind auch alle Ihre persönlichen und beruflichen Daten bei mir in guten Händen.</w:t>
        <w:tab/>
        <w:t xml:space="preserve"> </w:t>
        <w:br/>
        <w:br/>
        <w:t>Ich sichere Ihnen zu, dass ich sorgsam und streng vertraulich damit umgehe und immer am aktuellen Stand der technischen und organisatorischen Datenschutz-Maßnahmen bin.</w:t>
      </w:r>
    </w:p>
    <w:p>
      <w:pPr>
        <w:pStyle w:val="Normal"/>
        <w:ind w:left="851" w:right="1276" w:hanging="0"/>
        <w:jc w:val="both"/>
        <w:rPr>
          <w:i/>
          <w:i/>
          <w:color w:val="CE181E"/>
        </w:rPr>
      </w:pPr>
      <w:r>
        <w:rPr>
          <w:i/>
          <w:color w:val="000000"/>
        </w:rPr>
        <w:t>Darauf können Sie vertrauen.</w:t>
      </w:r>
    </w:p>
    <w:p>
      <w:pPr>
        <w:pStyle w:val="Normal"/>
        <w:ind w:left="851" w:right="1276" w:hanging="0"/>
        <w:jc w:val="both"/>
        <w:rPr>
          <w:i/>
          <w:i/>
          <w:color w:val="CE181E"/>
        </w:rPr>
      </w:pPr>
      <w:r>
        <w:rPr>
          <w:i/>
          <w:color w:val="CE181E"/>
        </w:rPr>
      </w:r>
    </w:p>
    <w:p>
      <w:pPr>
        <w:pStyle w:val="Normal"/>
        <w:ind w:left="851" w:right="1276" w:hanging="0"/>
        <w:jc w:val="both"/>
        <w:rPr>
          <w:i/>
          <w:i/>
          <w:color w:val="000000"/>
        </w:rPr>
      </w:pPr>
      <w:r>
        <w:rPr>
          <w:i/>
          <w:color w:val="000000"/>
        </w:rPr>
      </w:r>
    </w:p>
    <w:p>
      <w:pPr>
        <w:pStyle w:val="Normal"/>
        <w:ind w:left="851" w:right="1276" w:hanging="0"/>
        <w:jc w:val="right"/>
        <w:rPr/>
      </w:pPr>
      <w:bookmarkStart w:id="1090" w:name="__RefHeading___Toc24018_2257849036"/>
      <w:bookmarkEnd w:id="1090"/>
      <w:r>
        <w:rPr>
          <w:i/>
          <w:color w:val="000000"/>
          <w:highlight w:val="yellow"/>
        </w:rPr>
        <w:t>Ort am……...</w:t>
      </w:r>
    </w:p>
    <w:p>
      <w:pPr>
        <w:pStyle w:val="Normal"/>
        <w:ind w:left="851" w:right="1276" w:hanging="0"/>
        <w:rPr/>
      </w:pPr>
      <w:r>
        <w:rPr>
          <w:i/>
          <w:color w:val="000000"/>
        </w:rPr>
        <w:t>……………………………………………</w:t>
      </w:r>
      <w:r>
        <w:rPr>
          <w:i/>
          <w:color w:val="000000"/>
        </w:rPr>
        <w:t>..</w:t>
        <w:br/>
        <w:t>Unterschrift</w:t>
      </w:r>
      <w:r>
        <w:br w:type="page"/>
      </w:r>
    </w:p>
    <w:p>
      <w:pPr>
        <w:pStyle w:val="Berschrift1"/>
        <w:numPr>
          <w:ilvl w:val="0"/>
          <w:numId w:val="4"/>
        </w:numPr>
        <w:rPr/>
      </w:pPr>
      <w:bookmarkStart w:id="1091" w:name="__RefHeading___Toc31895_1491107819"/>
      <w:bookmarkStart w:id="1092" w:name="_Toc511051842"/>
      <w:bookmarkStart w:id="1093" w:name="_Toc513203962"/>
      <w:bookmarkStart w:id="1094" w:name="_Toc514867377"/>
      <w:bookmarkStart w:id="1095" w:name="_Toc517698083"/>
      <w:bookmarkStart w:id="1096" w:name="_Toc501127998"/>
      <w:bookmarkStart w:id="1097" w:name="_Toc501360016"/>
      <w:bookmarkStart w:id="1098" w:name="_Toc501361236"/>
      <w:bookmarkStart w:id="1099" w:name="_Toc501369337"/>
      <w:bookmarkStart w:id="1100" w:name="_Toc501447681"/>
      <w:bookmarkStart w:id="1101" w:name="_Toc501469420"/>
      <w:bookmarkStart w:id="1102" w:name="_Toc501545434"/>
      <w:bookmarkStart w:id="1103" w:name="_Toc501715518"/>
      <w:bookmarkStart w:id="1104" w:name="_Toc503168941"/>
      <w:bookmarkStart w:id="1105" w:name="_Toc503285715"/>
      <w:bookmarkStart w:id="1106" w:name="_Toc503285950"/>
      <w:bookmarkStart w:id="1107" w:name="_Toc503781234"/>
      <w:bookmarkStart w:id="1108" w:name="_Toc503862797"/>
      <w:bookmarkStart w:id="1109" w:name="_Toc503945459"/>
      <w:bookmarkStart w:id="1110" w:name="_Toc504155909"/>
      <w:bookmarkStart w:id="1111" w:name="_Toc504472823"/>
      <w:bookmarkStart w:id="1112" w:name="_Toc505068758"/>
      <w:bookmarkStart w:id="1113" w:name="_Toc505255111"/>
      <w:bookmarkStart w:id="1114" w:name="_Toc505585780"/>
      <w:bookmarkStart w:id="1115" w:name="_Toc505854383"/>
      <w:bookmarkStart w:id="1116" w:name="_Toc507067690"/>
      <w:bookmarkStart w:id="1117" w:name="_Toc505870281"/>
      <w:bookmarkEnd w:id="1091"/>
      <w:r>
        <w:rPr/>
        <w:t>Anhan</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t>g</w:t>
      </w:r>
      <w:bookmarkEnd w:id="1092"/>
      <w:bookmarkEnd w:id="1093"/>
      <w:bookmarkEnd w:id="1094"/>
      <w:bookmarkEnd w:id="1095"/>
    </w:p>
    <w:p>
      <w:pPr>
        <w:pStyle w:val="Berschrift2"/>
        <w:numPr>
          <w:ilvl w:val="1"/>
          <w:numId w:val="4"/>
        </w:numPr>
        <w:rPr>
          <w:b/>
          <w:b/>
        </w:rPr>
      </w:pPr>
      <w:bookmarkStart w:id="1118" w:name="__RefHeading___Toc31897_1491107819"/>
      <w:bookmarkStart w:id="1119" w:name="_Toc517698084"/>
      <w:bookmarkEnd w:id="1118"/>
      <w:r>
        <w:rPr>
          <w:b/>
        </w:rPr>
        <w:t>Informationsblatt über sensible Daten (Art 9 + 13 DSGVO)</w:t>
      </w:r>
      <w:bookmarkEnd w:id="1119"/>
    </w:p>
    <w:p>
      <w:pPr>
        <w:pStyle w:val="Normal"/>
        <w:tabs>
          <w:tab w:val="left" w:pos="1985" w:leader="none"/>
        </w:tabs>
        <w:rPr/>
      </w:pPr>
      <w:r>
        <w:rPr/>
        <w:t>Sehr geehrte Klientin!</w:t>
        <w:br/>
        <w:t>Sehr geehrter Klient!</w:t>
      </w:r>
    </w:p>
    <w:p>
      <w:pPr>
        <w:pStyle w:val="Normal"/>
        <w:rPr/>
      </w:pPr>
      <w:r>
        <w:rPr>
          <w:color w:val="000000"/>
        </w:rPr>
        <w:t xml:space="preserve">Gemäß Artikel 13 DSGVO möchte ich </w:t>
      </w:r>
      <w:r>
        <w:rPr>
          <w:rStyle w:val="Betont"/>
          <w:color w:val="000000"/>
          <w:highlight w:val="yellow"/>
        </w:rPr>
        <w:t>Name Psychotherapeut/in</w:t>
      </w:r>
      <w:r>
        <w:rPr>
          <w:color w:val="000000"/>
          <w:highlight w:val="yellow"/>
        </w:rPr>
        <w:t xml:space="preserve"> </w:t>
      </w:r>
      <w:r>
        <w:rPr>
          <w:color w:val="000000"/>
        </w:rPr>
        <w:t>Sie vorab informieren, dass ich als Verantwortliche/r folgende sensible Daten von Ihnen aufgrund unseres Beratungsvertrages bzw des Psychotherapiegesetz verarbeite.</w:t>
      </w:r>
    </w:p>
    <w:tbl>
      <w:tblPr>
        <w:tblW w:w="9632" w:type="dxa"/>
        <w:jc w:val="left"/>
        <w:tblInd w:w="-570" w:type="dxa"/>
        <w:tblBorders>
          <w:top w:val="single" w:sz="4" w:space="0" w:color="000001"/>
          <w:left w:val="single" w:sz="4" w:space="0" w:color="000001"/>
          <w:bottom w:val="double" w:sz="2" w:space="0" w:color="000001"/>
          <w:right w:val="single" w:sz="4" w:space="0" w:color="000001"/>
          <w:insideH w:val="double" w:sz="2" w:space="0" w:color="000001"/>
          <w:insideV w:val="single" w:sz="4" w:space="0" w:color="000001"/>
        </w:tblBorders>
        <w:tblCellMar>
          <w:top w:w="0" w:type="dxa"/>
          <w:left w:w="65" w:type="dxa"/>
          <w:bottom w:w="0" w:type="dxa"/>
          <w:right w:w="70" w:type="dxa"/>
        </w:tblCellMar>
        <w:tblLook w:firstRow="0" w:noVBand="0" w:lastRow="0" w:firstColumn="0" w:lastColumn="0" w:noHBand="0" w:val="0000"/>
      </w:tblPr>
      <w:tblGrid>
        <w:gridCol w:w="2381"/>
        <w:gridCol w:w="675"/>
        <w:gridCol w:w="6576"/>
      </w:tblGrid>
      <w:tr>
        <w:trPr/>
        <w:tc>
          <w:tcPr>
            <w:tcW w:w="2381"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snapToGrid w:val="false"/>
              <w:spacing w:lineRule="atLeast" w:line="220" w:before="0" w:after="0"/>
              <w:jc w:val="center"/>
              <w:rPr>
                <w:rFonts w:eastAsia="Times New Roman"/>
                <w:color w:val="000000"/>
                <w:lang w:eastAsia="de-AT"/>
              </w:rPr>
            </w:pPr>
            <w:r>
              <w:rPr>
                <w:rFonts w:eastAsia="Times New Roman"/>
                <w:color w:val="000000"/>
                <w:lang w:eastAsia="de-AT"/>
              </w:rPr>
              <w:t xml:space="preserve">Betroffene </w:t>
              <w:br/>
              <w:t>Personengruppen:</w:t>
            </w:r>
          </w:p>
        </w:tc>
        <w:tc>
          <w:tcPr>
            <w:tcW w:w="675"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snapToGrid w:val="false"/>
              <w:spacing w:lineRule="atLeast" w:line="220" w:before="0" w:after="0"/>
              <w:jc w:val="center"/>
              <w:rPr>
                <w:rFonts w:eastAsia="Times New Roman"/>
                <w:color w:val="000000"/>
                <w:lang w:eastAsia="de-AT"/>
              </w:rPr>
            </w:pPr>
            <w:r>
              <w:rPr>
                <w:rFonts w:eastAsia="Times New Roman"/>
                <w:color w:val="000000"/>
                <w:lang w:eastAsia="de-AT"/>
              </w:rPr>
              <w:t>Nr.:</w:t>
            </w:r>
          </w:p>
        </w:tc>
        <w:tc>
          <w:tcPr>
            <w:tcW w:w="6576"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snapToGrid w:val="false"/>
              <w:spacing w:lineRule="atLeast" w:line="220" w:before="0" w:after="0"/>
              <w:jc w:val="center"/>
              <w:rPr>
                <w:rFonts w:eastAsia="Times New Roman"/>
                <w:color w:val="000000"/>
                <w:lang w:eastAsia="de-AT"/>
              </w:rPr>
            </w:pPr>
            <w:r>
              <w:rPr>
                <w:rFonts w:eastAsia="Times New Roman"/>
                <w:color w:val="000000"/>
                <w:lang w:eastAsia="de-AT"/>
              </w:rPr>
              <w:t>Datenarten (samt Historie):</w:t>
            </w:r>
          </w:p>
        </w:tc>
      </w:tr>
      <w:tr>
        <w:trPr/>
        <w:tc>
          <w:tcPr>
            <w:tcW w:w="2381" w:type="dxa"/>
            <w:vMerge w:val="restart"/>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r>
          </w:p>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r>
          </w:p>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r>
          </w:p>
          <w:p>
            <w:pPr>
              <w:pStyle w:val="Normal"/>
              <w:snapToGrid w:val="false"/>
              <w:spacing w:lineRule="atLeast" w:line="220" w:before="0" w:after="0"/>
              <w:rPr/>
            </w:pPr>
            <w:r>
              <w:rPr>
                <w:rFonts w:eastAsia="Times New Roman"/>
                <w:color w:val="000000"/>
                <w:sz w:val="21"/>
                <w:szCs w:val="21"/>
                <w:lang w:eastAsia="de-AT"/>
              </w:rPr>
              <w:t>KlientInnen</w:t>
              <w:br/>
            </w:r>
          </w:p>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r>
          </w:p>
        </w:tc>
        <w:tc>
          <w:tcPr>
            <w:tcW w:w="67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01</w:t>
            </w:r>
          </w:p>
        </w:tc>
        <w:tc>
          <w:tcPr>
            <w:tcW w:w="6576"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pPr>
            <w:r>
              <w:rPr>
                <w:rFonts w:eastAsia="Times New Roman"/>
                <w:color w:val="000000"/>
                <w:sz w:val="21"/>
                <w:szCs w:val="21"/>
                <w:lang w:eastAsia="de-AT"/>
              </w:rPr>
              <w:t>Klientennummer, Protokollnummer</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02</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Namen, frühere Namen (Namensteile)</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03</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Anschrift</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04</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Telefon- und Faxnummer und andere zur Adressierung erforderliche Informationen, die sich durch moderne Kommunikationstechniken ergeben</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05</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Geburtsdatum, Geburtsort</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06</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Staatsangehörigkeit</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07</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Geschlecht</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08</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Buchhaltungsunterlagen</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09</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Sozialversicherungsträger</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10</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Sonstige Daten zur Sozialversicherung (insbesondere der Name, das Geburtsdatum und die Sozialversicherungsnummer des Hauptversicherten sowie das Verwandtschaftsverhältnis zum Hauptversicherten bei mitversicherten Patienten/Klienten )</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11</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Vorgeschichte der Problematik und der allfälligen Erkrankung sowie die bisherigen Diagnosen und den bisherigen Krankheitsverlauf,</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15</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Beginn, Verlauf und Beendigung der psychotherapeutischen Leistungen,</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16</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Art und Umfang der diagnostischen Leistungen, der beratenden oder behandelnden Interventionsformen sowie Ergebnisse einer allfälligen Evaluierung,</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17</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vereinbartes Honorar und sonstige weitere Vereinbarungen aus dem Behandlungsvertrag</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18</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erfolgte Aufklärungsschritte und nachweisliche Informationen,</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19</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Konsultationen von Berufsangehörigen oder anderen Gesundheitsberufen,</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20</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Übermittlung von Daten und Informationen an Dritte, insbesondere an Krankenversicherungsträger,</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21</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allfällige Empfehlungen zu ergänzenden ärztlichen, klinisch-psychologischen, gesundheitspsychologischen oder musiktherapeutischen Leistungen oder anderen Abklärungen,</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22</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Einsichtnahmen in die Dokumentation sowie</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23</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Begründung der Verweigerungen der Einsichtnahme in die Dokumentation.</w:t>
            </w:r>
          </w:p>
        </w:tc>
      </w:tr>
      <w:tr>
        <w:trPr/>
        <w:tc>
          <w:tcPr>
            <w:tcW w:w="238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pPr>
            <w:r>
              <w:rPr>
                <w:rFonts w:eastAsia="Times New Roman"/>
                <w:color w:val="000000"/>
                <w:sz w:val="21"/>
                <w:szCs w:val="21"/>
                <w:lang w:eastAsia="de-AT"/>
              </w:rPr>
              <w:t>Kontaktperson (nach Angabe des Klienten oder gesetzlicher Vertreter des Klienten :</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26</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Name</w:t>
            </w:r>
          </w:p>
        </w:tc>
      </w:tr>
      <w:tr>
        <w:trPr/>
        <w:tc>
          <w:tcPr>
            <w:tcW w:w="23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27</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Anschrift</w:t>
            </w:r>
          </w:p>
        </w:tc>
      </w:tr>
      <w:tr>
        <w:trPr/>
        <w:tc>
          <w:tcPr>
            <w:tcW w:w="23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28</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Telefon- und Faxnummer und andere zur Adressierung erforderliche Informationen, die sich durch moderne Kommunikationstechniken ergeben</w:t>
            </w:r>
          </w:p>
        </w:tc>
      </w:tr>
      <w:tr>
        <w:trPr/>
        <w:tc>
          <w:tcPr>
            <w:tcW w:w="23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7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29</w:t>
            </w:r>
          </w:p>
        </w:tc>
        <w:tc>
          <w:tcPr>
            <w:tcW w:w="6576"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Zustimmung des gesetzlichen Vertreters zur Behandlung</w:t>
            </w:r>
          </w:p>
        </w:tc>
      </w:tr>
      <w:tr>
        <w:trPr/>
        <w:tc>
          <w:tcPr>
            <w:tcW w:w="23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30</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Keine Zustimmung des gesetzlichen Vertreters notwendig</w:t>
            </w:r>
          </w:p>
        </w:tc>
      </w:tr>
    </w:tbl>
    <w:p>
      <w:pPr>
        <w:pStyle w:val="Normal"/>
        <w:rPr>
          <w:b/>
          <w:b/>
          <w:bCs/>
        </w:rPr>
      </w:pPr>
      <w:r>
        <w:rPr>
          <w:b/>
          <w:bCs/>
        </w:rPr>
      </w:r>
    </w:p>
    <w:p>
      <w:pPr>
        <w:pStyle w:val="Normal"/>
        <w:rPr>
          <w:b/>
          <w:b/>
          <w:bCs/>
        </w:rPr>
      </w:pPr>
      <w:bookmarkStart w:id="1120" w:name="__RefHeading___Toc24020_2257849036"/>
      <w:bookmarkEnd w:id="1120"/>
      <w:r>
        <w:rPr>
          <w:b/>
          <w:bCs/>
        </w:rPr>
        <w:t>Die Höchstdauer der zulässigen Datenaufbewahrung beträgt:</w:t>
      </w:r>
    </w:p>
    <w:p>
      <w:pPr>
        <w:pStyle w:val="Normal"/>
        <w:rPr/>
      </w:pPr>
      <w:r>
        <w:rPr/>
        <w:t xml:space="preserve">Die Daten der Patienten/Klienten sind gemäß  </w:t>
      </w:r>
      <w:r>
        <w:rPr>
          <w:color w:val="000000"/>
        </w:rPr>
        <w:t xml:space="preserve">§16a (3) Dokumentationsplicht Psychotherapiegesetz  </w:t>
      </w:r>
      <w:r>
        <w:rPr/>
        <w:t>1990 zehn Jahre aufzubewahren. Weiters ist es zulässig, alle Daten bis zur Beendigung von allfälligen Rechtsstreitigkeiten, bei denen die Daten als Beweis benötigt werden, aufzubewahren.</w:t>
      </w:r>
    </w:p>
    <w:p>
      <w:pPr>
        <w:pStyle w:val="Normal"/>
        <w:rPr/>
      </w:pPr>
      <w:bookmarkStart w:id="1121" w:name="__RefHeading___Toc24022_2257849036"/>
      <w:bookmarkEnd w:id="1121"/>
      <w:r>
        <w:rPr>
          <w:b/>
          <w:bCs/>
        </w:rPr>
        <w:t>Ich verwende Ihre Daten für folgende Zwecke:</w:t>
      </w:r>
    </w:p>
    <w:p>
      <w:pPr>
        <w:pStyle w:val="Normal"/>
        <w:numPr>
          <w:ilvl w:val="0"/>
          <w:numId w:val="22"/>
        </w:numPr>
        <w:rPr/>
      </w:pPr>
      <w:r>
        <w:rPr/>
        <w:t xml:space="preserve">Führung und Pflege von Klientenkarteien zur Dokumentation gemäß  </w:t>
      </w:r>
      <w:r>
        <w:rPr>
          <w:color w:val="000000"/>
        </w:rPr>
        <w:t xml:space="preserve">§16a (3) Dokumentationsplicht Psychotherapiegesetz  </w:t>
      </w:r>
      <w:r>
        <w:rPr/>
        <w:t>1990</w:t>
      </w:r>
    </w:p>
    <w:p>
      <w:pPr>
        <w:pStyle w:val="Normal"/>
        <w:numPr>
          <w:ilvl w:val="0"/>
          <w:numId w:val="22"/>
        </w:numPr>
        <w:rPr/>
      </w:pPr>
      <w:r>
        <w:rPr/>
        <w:t>Erstellung von medizinischen Gutachten und Honorarverrechnung durch Therapeuten, einschließlich automationsunterstützt erstellter und archivierter Textdokumente (wie zB Korrespondenz) in diesen Angelegenheiten zur Erfüllung des Behandlungsvertrages</w:t>
      </w:r>
    </w:p>
    <w:p>
      <w:pPr>
        <w:pStyle w:val="Normal"/>
        <w:rPr>
          <w:b/>
          <w:b/>
          <w:bCs/>
        </w:rPr>
      </w:pPr>
      <w:r>
        <w:rPr>
          <w:b/>
          <w:bCs/>
        </w:rPr>
        <w:t xml:space="preserve">Ihre Daten werden </w:t>
      </w:r>
      <w:r>
        <w:rPr>
          <w:b/>
          <w:bCs/>
          <w:color w:val="000000"/>
        </w:rPr>
        <w:t>an folgende Empfänger weitergeleitet:</w:t>
      </w:r>
    </w:p>
    <w:tbl>
      <w:tblPr>
        <w:tblW w:w="10320" w:type="dxa"/>
        <w:jc w:val="left"/>
        <w:tblInd w:w="-908" w:type="dxa"/>
        <w:tblBorders>
          <w:top w:val="single" w:sz="6" w:space="0" w:color="000001"/>
          <w:left w:val="single" w:sz="6" w:space="0" w:color="000001"/>
          <w:bottom w:val="single" w:sz="6" w:space="0" w:color="000001"/>
          <w:insideH w:val="single" w:sz="6" w:space="0" w:color="000001"/>
        </w:tblBorders>
        <w:tblCellMar>
          <w:top w:w="28" w:type="dxa"/>
          <w:left w:w="19" w:type="dxa"/>
          <w:bottom w:w="28" w:type="dxa"/>
          <w:right w:w="28" w:type="dxa"/>
        </w:tblCellMar>
        <w:tblLook w:firstRow="0" w:noVBand="0" w:lastRow="0" w:firstColumn="0" w:lastColumn="0" w:noHBand="0" w:val="0000"/>
      </w:tblPr>
      <w:tblGrid>
        <w:gridCol w:w="1657"/>
        <w:gridCol w:w="8662"/>
      </w:tblGrid>
      <w:tr>
        <w:trPr/>
        <w:tc>
          <w:tcPr>
            <w:tcW w:w="1657"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rFonts w:eastAsia="Times New Roman"/>
                <w:b/>
                <w:b/>
                <w:bCs/>
                <w:lang w:eastAsia="de-AT"/>
              </w:rPr>
            </w:pPr>
            <w:r>
              <w:rPr>
                <w:rFonts w:eastAsia="Times New Roman"/>
                <w:b/>
                <w:bCs/>
                <w:lang w:eastAsia="de-AT"/>
              </w:rPr>
              <w:t>Rechtsgrundlage</w:t>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tabs>
                <w:tab w:val="left" w:pos="709" w:leader="none"/>
                <w:tab w:val="right" w:pos="6293" w:leader="none"/>
              </w:tabs>
              <w:spacing w:before="0" w:after="0"/>
              <w:ind w:left="709" w:hanging="709"/>
              <w:jc w:val="center"/>
              <w:rPr>
                <w:rFonts w:eastAsia="Times New Roman"/>
                <w:b/>
                <w:b/>
                <w:bCs/>
                <w:lang w:eastAsia="de-AT"/>
              </w:rPr>
            </w:pPr>
            <w:r>
              <w:rPr>
                <w:rFonts w:eastAsia="Times New Roman"/>
                <w:b/>
                <w:bCs/>
                <w:lang w:eastAsia="de-AT"/>
              </w:rPr>
              <w:t>Empfängerkategorien</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rFonts w:eastAsia="Times New Roman"/>
                <w:lang w:eastAsia="de-AT"/>
              </w:rPr>
            </w:pPr>
            <w:r>
              <w:rPr>
                <w:rFonts w:eastAsia="Times New Roman"/>
                <w:lang w:eastAsia="de-AT"/>
              </w:rPr>
              <w:t>gesetzlich</w:t>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rFonts w:eastAsia="Times New Roman"/>
                <w:lang w:eastAsia="de-AT"/>
              </w:rPr>
            </w:pPr>
            <w:r>
              <w:rPr>
                <w:rFonts w:eastAsia="Times New Roman"/>
                <w:lang w:eastAsia="de-AT"/>
              </w:rPr>
              <w:t>Sozialversicherungsträger (einschließlich Betriebskrankenkassen), MA11 und sonstige Kostenträger im Rahmen ihrer rechtlichen Befugnisse auf Grund von Gesetzen oder Sozialversicherungsabkommen;</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rFonts w:eastAsia="Times New Roman"/>
                <w:lang w:eastAsia="de-AT"/>
              </w:rPr>
            </w:pPr>
            <w:r>
              <w:rPr>
                <w:rFonts w:eastAsia="Times New Roman"/>
                <w:lang w:eastAsia="de-AT"/>
              </w:rPr>
              <w:t>gesetzlich</w:t>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rFonts w:eastAsia="Times New Roman"/>
                <w:lang w:eastAsia="de-AT"/>
              </w:rPr>
            </w:pPr>
            <w:r>
              <w:rPr>
                <w:rFonts w:eastAsia="Times New Roman"/>
                <w:lang w:eastAsia="de-AT"/>
              </w:rPr>
              <w:t>Auftraggeber von Gutachten, soweit die rechtlichen Voraussetzungen für die Erstellung des Gutachtens vorliegen;</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jc w:val="center"/>
              <w:rPr>
                <w:sz w:val="18"/>
                <w:szCs w:val="18"/>
              </w:rPr>
            </w:pPr>
            <w:r>
              <w:rPr>
                <w:rFonts w:eastAsia="Times New Roman"/>
                <w:color w:val="000000"/>
                <w:sz w:val="18"/>
                <w:szCs w:val="18"/>
                <w:lang w:eastAsia="de-AT"/>
              </w:rPr>
              <w:t xml:space="preserve">Nur im Anlassfall </w:t>
              <w:br/>
              <w:t>(gesetzl. Regelung bzw. Einwilligung des Klienten)</w:t>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spacing w:before="100" w:after="100"/>
              <w:rPr>
                <w:rFonts w:eastAsia="Times New Roman"/>
                <w:lang w:eastAsia="de-AT"/>
              </w:rPr>
            </w:pPr>
            <w:r>
              <w:rPr>
                <w:rFonts w:eastAsia="Times New Roman"/>
                <w:lang w:eastAsia="de-AT"/>
              </w:rPr>
              <w:t>Mit der Rechtsdurchsetzung, Streitschlichtung und Klärung von Beschwerden der Patienten/Klienten und Abrechnungsansprüchen (des Auftraggebers) betraute Stellen, insbesondere Rechtsanwälte, Gerichte, Schlichtungsstellen und Patientenanwälte,</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113" w:hanging="0"/>
              <w:jc w:val="center"/>
              <w:rPr>
                <w:sz w:val="18"/>
                <w:szCs w:val="18"/>
              </w:rPr>
            </w:pPr>
            <w:r>
              <w:rPr>
                <w:rFonts w:eastAsia="Times New Roman"/>
                <w:color w:val="000000"/>
                <w:sz w:val="18"/>
                <w:szCs w:val="18"/>
                <w:lang w:eastAsia="de-AT"/>
              </w:rPr>
              <w:t>Im Falle der Karenz,</w:t>
              <w:br/>
              <w:t xml:space="preserve">Pensionierung, </w:t>
              <w:br/>
              <w:t>Arbeitsunfähigkeit oder Todes</w:t>
              <w:br/>
              <w:t>des Therapeut/in</w:t>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spacing w:before="100" w:after="100"/>
              <w:rPr/>
            </w:pPr>
            <w:r>
              <w:rPr>
                <w:rFonts w:eastAsia="Times New Roman"/>
                <w:lang w:eastAsia="de-AT"/>
              </w:rPr>
              <w:t xml:space="preserve">ist der Erbe oder sonstige Rechtsnachfolger unter Wahrung des Datenschutzes verpflichtet, die Dokumentation für die der Aufbewahrungspflicht entsprechende Dauer gegen Kostenersatz </w:t>
              <w:br/>
            </w:r>
            <w:r>
              <w:rPr/>
              <w:t>1. einem genannten Berufsangehörigen, der in diese Benennung und Pflichtenübernahme schriftlich eingewilligt hat, andernfalls</w:t>
            </w:r>
          </w:p>
          <w:p>
            <w:pPr>
              <w:pStyle w:val="Normal"/>
              <w:widowControl/>
              <w:bidi w:val="0"/>
              <w:spacing w:before="0" w:after="160"/>
              <w:jc w:val="left"/>
              <w:textAlignment w:val="baseline"/>
              <w:rPr/>
            </w:pPr>
            <w:r>
              <w:rPr/>
              <w:t>2. vom Bundesministerium für Gesundheit zu bestimmenden Dritten zu übermitteln.</w:t>
            </w:r>
          </w:p>
        </w:tc>
      </w:tr>
    </w:tbl>
    <w:p>
      <w:pPr>
        <w:pStyle w:val="Normal"/>
        <w:rPr/>
      </w:pPr>
      <w:r>
        <w:rPr/>
      </w:r>
    </w:p>
    <w:p>
      <w:pPr>
        <w:pStyle w:val="Normal"/>
        <w:jc w:val="center"/>
        <w:rPr>
          <w:b/>
          <w:b/>
          <w:bCs/>
        </w:rPr>
      </w:pPr>
      <w:r>
        <w:rPr>
          <w:b/>
          <w:bCs/>
        </w:rPr>
      </w:r>
    </w:p>
    <w:p>
      <w:pPr>
        <w:pStyle w:val="Normal"/>
        <w:jc w:val="center"/>
        <w:rPr>
          <w:b/>
          <w:b/>
          <w:bCs/>
        </w:rPr>
      </w:pPr>
      <w:r>
        <w:rPr>
          <w:b/>
          <w:bCs/>
        </w:rPr>
        <w:t xml:space="preserve">Die Weiterleitung an folgende Empfängern bedarf der </w:t>
        <w:br/>
        <w:t>Einwilligung des Klienten/in durch Ankreuzen:</w:t>
      </w:r>
    </w:p>
    <w:tbl>
      <w:tblPr>
        <w:tblW w:w="10320" w:type="dxa"/>
        <w:jc w:val="left"/>
        <w:tblInd w:w="-908" w:type="dxa"/>
        <w:tblBorders>
          <w:top w:val="single" w:sz="6" w:space="0" w:color="000001"/>
          <w:left w:val="single" w:sz="6" w:space="0" w:color="000001"/>
          <w:bottom w:val="single" w:sz="6" w:space="0" w:color="000001"/>
          <w:insideH w:val="single" w:sz="6" w:space="0" w:color="000001"/>
        </w:tblBorders>
        <w:tblCellMar>
          <w:top w:w="0" w:type="dxa"/>
          <w:left w:w="19" w:type="dxa"/>
          <w:bottom w:w="28" w:type="dxa"/>
          <w:right w:w="28" w:type="dxa"/>
        </w:tblCellMar>
        <w:tblLook w:firstRow="0" w:noVBand="0" w:lastRow="0" w:firstColumn="0" w:lastColumn="0" w:noHBand="0" w:val="0000"/>
      </w:tblPr>
      <w:tblGrid>
        <w:gridCol w:w="1657"/>
        <w:gridCol w:w="8662"/>
      </w:tblGrid>
      <w:tr>
        <w:trPr/>
        <w:tc>
          <w:tcPr>
            <w:tcW w:w="1657"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pPr>
            <w:r>
              <w:rPr>
                <w:rFonts w:eastAsia="Times New Roman"/>
                <w:color w:val="000000"/>
                <w:lang w:eastAsia="de-AT"/>
              </w:rPr>
              <w:t>Bitte ankreuzen</w:t>
              <w:br/>
              <w:br/>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pPr>
            <w:r>
              <w:rPr>
                <w:rFonts w:eastAsia="Times New Roman"/>
                <w:lang w:eastAsia="de-AT"/>
              </w:rPr>
              <w:t>Privatversicherungen zum Zweck der Abwicklung des Versicherungsanspruches</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pPr>
            <w:r>
              <w:rPr>
                <w:rFonts w:eastAsia="Times New Roman"/>
                <w:color w:val="000000"/>
                <w:lang w:eastAsia="de-AT"/>
              </w:rPr>
              <w:t>Bitte ankreuzen</w:t>
            </w:r>
          </w:p>
          <w:p>
            <w:pPr>
              <w:pStyle w:val="Normal"/>
              <w:spacing w:before="100" w:after="100"/>
              <w:jc w:val="center"/>
              <w:rPr>
                <w:rFonts w:eastAsia="Times New Roman"/>
                <w:color w:val="000000"/>
                <w:lang w:eastAsia="de-AT"/>
              </w:rPr>
            </w:pPr>
            <w:r>
              <w:rPr>
                <w:rFonts w:eastAsia="Times New Roman"/>
                <w:color w:val="000000"/>
                <w:lang w:eastAsia="de-AT"/>
              </w:rPr>
            </w:r>
          </w:p>
          <w:p>
            <w:pPr>
              <w:pStyle w:val="Normal"/>
              <w:spacing w:before="100" w:after="100"/>
              <w:jc w:val="center"/>
              <w:rPr>
                <w:rFonts w:eastAsia="Times New Roman"/>
                <w:color w:val="000000"/>
                <w:lang w:eastAsia="de-AT"/>
              </w:rPr>
            </w:pPr>
            <w:r>
              <w:rPr>
                <w:rFonts w:eastAsia="Times New Roman"/>
                <w:color w:val="000000"/>
                <w:lang w:eastAsia="de-AT"/>
              </w:rPr>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pPr>
            <w:r>
              <w:rPr/>
              <w:t>Die Abrechnung mit der Privatversicherung übernimmt der Klient/In selber und erhält die dafür notwendigen Unterlagen</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pPr>
            <w:bookmarkStart w:id="1122" w:name="__DdeLink__71103_489708053"/>
            <w:r>
              <w:rPr>
                <w:rFonts w:eastAsia="Times New Roman"/>
                <w:color w:val="000000"/>
                <w:lang w:eastAsia="de-AT"/>
              </w:rPr>
              <w:t>Bitte ankreuzen</w:t>
              <w:br/>
            </w:r>
            <w:bookmarkEnd w:id="1122"/>
          </w:p>
          <w:p>
            <w:pPr>
              <w:pStyle w:val="Normal"/>
              <w:spacing w:before="100" w:after="100"/>
              <w:jc w:val="center"/>
              <w:rPr>
                <w:rFonts w:eastAsia="Times New Roman"/>
                <w:color w:val="000000"/>
                <w:lang w:eastAsia="de-AT"/>
              </w:rPr>
            </w:pPr>
            <w:r>
              <w:rPr>
                <w:rFonts w:eastAsia="Times New Roman"/>
                <w:color w:val="000000"/>
                <w:lang w:eastAsia="de-AT"/>
              </w:rPr>
            </w:r>
          </w:p>
          <w:p>
            <w:pPr>
              <w:pStyle w:val="Normal"/>
              <w:spacing w:before="100" w:after="100"/>
              <w:jc w:val="center"/>
              <w:rPr>
                <w:rFonts w:eastAsia="Times New Roman"/>
                <w:color w:val="000000"/>
                <w:lang w:eastAsia="de-AT"/>
              </w:rPr>
            </w:pPr>
            <w:r>
              <w:rPr>
                <w:rFonts w:eastAsia="Times New Roman"/>
                <w:color w:val="000000"/>
                <w:lang w:eastAsia="de-AT"/>
              </w:rPr>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pPr>
            <w:r>
              <w:rPr>
                <w:rFonts w:eastAsia="Times New Roman"/>
                <w:lang w:eastAsia="de-AT"/>
              </w:rPr>
              <w:t xml:space="preserve">Ärzte, Vertreter von sonstigen Gesundheitsberufen und medizinische oder soziale Einrichtungen, </w:t>
            </w:r>
            <w:r>
              <w:rPr>
                <w:rFonts w:eastAsia="Times New Roman"/>
                <w:color w:val="000000"/>
                <w:lang w:eastAsia="de-AT"/>
              </w:rPr>
              <w:t xml:space="preserve">sowie nicht-ärztliche Gesundheitsberufe </w:t>
            </w:r>
            <w:r>
              <w:rPr>
                <w:rFonts w:eastAsia="Times New Roman"/>
                <w:lang w:eastAsia="de-AT"/>
              </w:rPr>
              <w:t xml:space="preserve">in deren Behandlung der Patient steht oder überwiesen wird. </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100" w:after="100"/>
              <w:ind w:left="113" w:hanging="0"/>
              <w:jc w:val="center"/>
              <w:rPr/>
            </w:pPr>
            <w:r>
              <w:rPr>
                <w:rFonts w:eastAsia="Times New Roman"/>
                <w:color w:val="000000"/>
                <w:sz w:val="21"/>
                <w:szCs w:val="21"/>
                <w:lang w:eastAsia="de-AT"/>
              </w:rPr>
              <w:t>Bitte ankreuzen</w:t>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i/>
                <w:i/>
                <w:highlight w:val="yellow"/>
              </w:rPr>
            </w:pPr>
            <w:r>
              <w:rPr>
                <w:i/>
                <w:highlight w:val="yellow"/>
              </w:rPr>
            </w:r>
          </w:p>
          <w:p>
            <w:pPr>
              <w:pStyle w:val="Normal"/>
              <w:rPr/>
            </w:pPr>
            <w:r>
              <w:rPr>
                <w:i/>
                <w:highlight w:val="yellow"/>
              </w:rPr>
              <w:t>Bitte hier Ihren Honorar-Abrechnungs-Verein eintragen</w:t>
            </w:r>
          </w:p>
          <w:p>
            <w:pPr>
              <w:pStyle w:val="Normal"/>
              <w:spacing w:before="100" w:after="100"/>
              <w:rPr>
                <w:rFonts w:eastAsia="Times New Roman"/>
                <w:i/>
                <w:i/>
                <w:iCs/>
                <w:color w:val="808080"/>
                <w:lang w:eastAsia="de-AT"/>
              </w:rPr>
            </w:pPr>
            <w:r>
              <w:rPr>
                <w:rFonts w:eastAsia="Times New Roman"/>
                <w:i/>
                <w:iCs/>
                <w:color w:val="808080"/>
                <w:lang w:eastAsia="de-AT"/>
              </w:rPr>
            </w:r>
          </w:p>
        </w:tc>
      </w:tr>
    </w:tbl>
    <w:p>
      <w:pPr>
        <w:pStyle w:val="Normal"/>
        <w:rPr/>
      </w:pPr>
      <w:r>
        <w:rPr/>
        <w:br/>
      </w:r>
      <w:r>
        <w:rPr>
          <w:b/>
          <w:bCs/>
        </w:rPr>
        <w:t>Ich habe den Klienten/in darauf hingewiesen worden, dass</w:t>
      </w:r>
    </w:p>
    <w:p>
      <w:pPr>
        <w:pStyle w:val="Textkrper"/>
        <w:numPr>
          <w:ilvl w:val="0"/>
          <w:numId w:val="30"/>
        </w:numPr>
        <w:tabs>
          <w:tab w:val="left" w:pos="709" w:leader="none"/>
        </w:tabs>
        <w:spacing w:before="57" w:after="217"/>
        <w:ind w:left="340" w:hanging="340"/>
        <w:rPr/>
      </w:pPr>
      <w:r>
        <w:rPr/>
        <w:t>wenn er/sie die Daten nicht an meinen Honorar-Abrechnungs-Verein weiterleiten will und die Therapie auch nicht von einer Sozialversicherung übernommen wird, er/sie die Therapie privat zu bezahlen hat.</w:t>
      </w:r>
    </w:p>
    <w:p>
      <w:pPr>
        <w:pStyle w:val="Normal"/>
        <w:numPr>
          <w:ilvl w:val="0"/>
          <w:numId w:val="30"/>
        </w:numPr>
        <w:tabs>
          <w:tab w:val="left" w:pos="709" w:leader="none"/>
        </w:tabs>
        <w:spacing w:before="57" w:after="217"/>
        <w:ind w:left="340" w:hanging="340"/>
        <w:rPr/>
      </w:pPr>
      <w:r>
        <w:rPr/>
        <w:t xml:space="preserve">die im Rahmen der vorstehenden genannten Zweck erhobenen persönlichen Daten unter Beachtung des DSGVO und des DSG erhoben, verarbeitet, genutzt und nur sicher sowie verschlüsselt übermittelt werden. </w:t>
      </w:r>
    </w:p>
    <w:p>
      <w:pPr>
        <w:pStyle w:val="Normal"/>
        <w:numPr>
          <w:ilvl w:val="0"/>
          <w:numId w:val="30"/>
        </w:numPr>
        <w:tabs>
          <w:tab w:val="left" w:pos="709" w:leader="none"/>
        </w:tabs>
        <w:spacing w:before="57" w:after="217"/>
        <w:ind w:left="340" w:hanging="340"/>
        <w:rPr/>
      </w:pPr>
      <w:r>
        <w:rPr/>
        <w:t>die Erhebung, Verarbeitung und Nutzung der Daten auf freiwilliger Basis erfolgt und dass der Klient/in sein/ihr Einverständnis verweigern oder jederzeit mit Wirkung für die Zukunft widerrufen kann</w:t>
      </w:r>
    </w:p>
    <w:p>
      <w:pPr>
        <w:pStyle w:val="Normal"/>
        <w:numPr>
          <w:ilvl w:val="0"/>
          <w:numId w:val="30"/>
        </w:numPr>
        <w:tabs>
          <w:tab w:val="left" w:pos="709" w:leader="none"/>
        </w:tabs>
        <w:spacing w:before="57" w:after="217"/>
        <w:ind w:left="340" w:hanging="340"/>
        <w:rPr/>
      </w:pPr>
      <w:r>
        <w:rPr>
          <w:color w:val="000000"/>
        </w:rPr>
        <w:t xml:space="preserve">er/sie jederzeit berechtigt ist kostenfrei </w:t>
      </w:r>
      <w:r>
        <w:rPr>
          <w:rFonts w:eastAsia="Times New Roman"/>
          <w:color w:val="000000"/>
          <w:lang w:eastAsia="de-AT"/>
        </w:rPr>
        <w:t xml:space="preserve">Einsicht in die Dokumentation </w:t>
      </w:r>
      <w:r>
        <w:rPr>
          <w:color w:val="000000"/>
        </w:rPr>
        <w:t xml:space="preserve">über die zu seiner/ihrer Person gespeicherten Daten </w:t>
      </w:r>
      <w:r>
        <w:rPr>
          <w:rFonts w:eastAsia="Times New Roman"/>
          <w:color w:val="000000"/>
          <w:lang w:eastAsia="de-AT"/>
        </w:rPr>
        <w:t>oder einmalig die Herstellung von Abschriften zu verlangen, soweit diese das Vertrauensverhältnis zwischen mir als Therapeuten/in und ihm/ihr als Klient/in nicht gefährden. (§ 16a. (2) Psychotherapiegesetz  1990)</w:t>
      </w:r>
    </w:p>
    <w:p>
      <w:pPr>
        <w:pStyle w:val="Normal"/>
        <w:numPr>
          <w:ilvl w:val="0"/>
          <w:numId w:val="30"/>
        </w:numPr>
        <w:tabs>
          <w:tab w:val="left" w:pos="709" w:leader="none"/>
        </w:tabs>
        <w:spacing w:before="57" w:after="217"/>
        <w:ind w:left="340" w:hanging="340"/>
        <w:rPr/>
      </w:pPr>
      <w:r>
        <w:rPr/>
        <w:t>sie/er jederzeit berechtigt ist, die Berichtigung, Löschung oder Einschränkung einzelner personenbezogener Daten zu verlangen.</w:t>
      </w:r>
    </w:p>
    <w:p>
      <w:pPr>
        <w:pStyle w:val="Normal"/>
        <w:numPr>
          <w:ilvl w:val="0"/>
          <w:numId w:val="30"/>
        </w:numPr>
        <w:tabs>
          <w:tab w:val="left" w:pos="709" w:leader="none"/>
        </w:tabs>
        <w:spacing w:before="57" w:after="217"/>
        <w:ind w:left="340" w:hanging="340"/>
        <w:rPr/>
      </w:pPr>
      <w:r>
        <w:rPr>
          <w:color w:val="000000"/>
        </w:rPr>
        <w:t xml:space="preserve">seine/ihre Daten vollständig anonymisiert für wissenschaftliche Zwecke verwendet werden können. </w:t>
      </w:r>
    </w:p>
    <w:p>
      <w:pPr>
        <w:pStyle w:val="Normal"/>
        <w:numPr>
          <w:ilvl w:val="0"/>
          <w:numId w:val="30"/>
        </w:numPr>
        <w:tabs>
          <w:tab w:val="left" w:pos="709" w:leader="none"/>
        </w:tabs>
        <w:spacing w:before="57" w:after="217"/>
        <w:ind w:left="340" w:hanging="340"/>
        <w:rPr/>
      </w:pPr>
      <w:r>
        <w:rPr>
          <w:color w:val="000000"/>
        </w:rPr>
        <w:t>sie/er i</w:t>
      </w:r>
      <w:r>
        <w:rPr/>
        <w:t xml:space="preserve">m Falle der Einsicht, des Widerrufes oder der Löschung dies als Antrag schriftlich bzw. per </w:t>
      </w:r>
      <w:r>
        <w:rPr>
          <w:highlight w:val="yellow"/>
        </w:rPr>
        <w:t xml:space="preserve">Email </w:t>
      </w:r>
      <w:r>
        <w:rPr/>
        <w:t xml:space="preserve">an mich  </w:t>
      </w:r>
      <w:r>
        <w:rPr>
          <w:i/>
          <w:highlight w:val="yellow"/>
        </w:rPr>
        <w:t>Name, Adresse</w:t>
      </w:r>
      <w:r>
        <w:rPr/>
        <w:t xml:space="preserve"> </w:t>
      </w:r>
      <w:r>
        <w:rPr>
          <w:color w:val="000000"/>
        </w:rPr>
        <w:t>zu richten hat</w:t>
      </w:r>
    </w:p>
    <w:p>
      <w:pPr>
        <w:pStyle w:val="Normal"/>
        <w:numPr>
          <w:ilvl w:val="0"/>
          <w:numId w:val="30"/>
        </w:numPr>
        <w:tabs>
          <w:tab w:val="left" w:pos="709" w:leader="none"/>
        </w:tabs>
        <w:spacing w:before="57" w:after="217"/>
        <w:ind w:left="340" w:hanging="340"/>
        <w:rPr/>
      </w:pPr>
      <w:r>
        <w:rPr>
          <w:color w:val="000000"/>
        </w:rPr>
        <w:t>ich ihm/ihr den Aushang  „Datenschutzerklärung“ ebenso zur Kenntnis gebracht habe.</w:t>
      </w:r>
    </w:p>
    <w:p>
      <w:pPr>
        <w:pStyle w:val="Normal"/>
        <w:rPr/>
      </w:pPr>
      <w:r>
        <w:rPr/>
        <w:t>Im Falle des Widerrufes oder Antrag auf Löschung werden die pB Daten mit dem Zugang der Willenserklärung gelöscht und nur</w:t>
      </w:r>
    </w:p>
    <w:p>
      <w:pPr>
        <w:pStyle w:val="Normal"/>
        <w:numPr>
          <w:ilvl w:val="0"/>
          <w:numId w:val="23"/>
        </w:numPr>
        <w:tabs>
          <w:tab w:val="right" w:pos="6860" w:leader="none"/>
        </w:tabs>
        <w:ind w:left="567" w:hanging="340"/>
        <w:rPr/>
      </w:pPr>
      <w:r>
        <w:rPr/>
        <w:t>Daten aus dem</w:t>
      </w:r>
      <w:r>
        <w:rPr>
          <w:rFonts w:eastAsia="Times New Roman" w:cs="Calibri"/>
          <w:lang w:eastAsia="de-AT"/>
        </w:rPr>
        <w:t xml:space="preserve"> Behandlungsvertrag,</w:t>
      </w:r>
      <w:r>
        <w:rPr/>
        <w:t xml:space="preserve"> die für </w:t>
      </w:r>
      <w:r>
        <w:rPr>
          <w:color w:val="000000"/>
        </w:rPr>
        <w:t xml:space="preserve">eine ordnungsgemäße </w:t>
      </w:r>
      <w:r>
        <w:rPr/>
        <w:t>Buchhaltung a</w:t>
      </w:r>
      <w:r>
        <w:rPr>
          <w:rFonts w:eastAsia="Times New Roman" w:cs="Calibri"/>
          <w:lang w:eastAsia="de-AT"/>
        </w:rPr>
        <w:t xml:space="preserve">ufgrund der gesetzlichen Aufbewahrungsfristen </w:t>
      </w:r>
      <w:r>
        <w:rPr/>
        <w:t>notwendig sind, sicher für 7 Jahre aufbewahrt und dann gelöscht.</w:t>
      </w:r>
    </w:p>
    <w:p>
      <w:pPr>
        <w:pStyle w:val="Normal"/>
        <w:numPr>
          <w:ilvl w:val="0"/>
          <w:numId w:val="23"/>
        </w:numPr>
        <w:tabs>
          <w:tab w:val="right" w:pos="6860" w:leader="none"/>
        </w:tabs>
        <w:ind w:left="567" w:hanging="340"/>
        <w:rPr/>
      </w:pPr>
      <w:r>
        <w:rPr/>
        <w:t xml:space="preserve">die sensiblen Daten werden gemäß </w:t>
      </w:r>
      <w:r>
        <w:rPr>
          <w:rFonts w:cs="Calibri"/>
          <w:color w:val="000000"/>
        </w:rPr>
        <w:t xml:space="preserve">§16a (3) Dokumentationspflicht Psychotherapiegesetz  </w:t>
      </w:r>
      <w:r>
        <w:rPr>
          <w:rFonts w:cs="Calibri"/>
        </w:rPr>
        <w:t>1990 an einem sicheren Ort - getrennt von den Buchhaltungsunterlagen – archiviert und n</w:t>
      </w:r>
      <w:r>
        <w:rPr/>
        <w:t>ach Ablauf der gesetzlicher Fristen von 10 Jahren dann endgültig gelöscht</w:t>
      </w:r>
    </w:p>
    <w:p>
      <w:pPr>
        <w:pStyle w:val="Normal"/>
        <w:numPr>
          <w:ilvl w:val="0"/>
          <w:numId w:val="23"/>
        </w:numPr>
        <w:tabs>
          <w:tab w:val="right" w:pos="6860" w:leader="none"/>
        </w:tabs>
        <w:ind w:left="567" w:hanging="340"/>
        <w:rPr/>
      </w:pPr>
      <w:r>
        <w:rPr/>
        <w:t>vollständig anonymisiert für wissenschaftliche Zwecke verwendet werden</w:t>
      </w:r>
    </w:p>
    <w:p>
      <w:pPr>
        <w:pStyle w:val="Normal"/>
        <w:rPr/>
      </w:pPr>
      <w:r>
        <w:rPr/>
        <w:t>Ich werde den Widerruf an die o. g. Dritten weiterleiten, die ihrerseits dann die Daten löschen, ausdrücklich ausgenommen davon sind die Sozialversicherungen*.</w:t>
      </w:r>
    </w:p>
    <w:p>
      <w:pPr>
        <w:pStyle w:val="Normal"/>
        <w:rPr/>
      </w:pPr>
      <w:r>
        <w:rPr>
          <w:i/>
          <w:iCs/>
          <w:color w:val="000000"/>
        </w:rPr>
        <w:t xml:space="preserve">*Die Löschung seiner Daten bei der Sozialversicherung muss der Klient von sich aus beantragen, da möglicherweise alle auf Grundlage dieser Daten von den Sozialversicherungen  bisher erbrachten Leistungen der Sozialversicherung binnen vier Wochen ab Tilgung der Daten </w:t>
      </w:r>
      <w:r>
        <w:rPr>
          <w:i/>
          <w:iCs/>
          <w:color w:val="000000"/>
          <w:u w:val="single"/>
        </w:rPr>
        <w:t>vom  Antragsteller zurückzuzahlen</w:t>
      </w:r>
      <w:r>
        <w:rPr>
          <w:i/>
          <w:iCs/>
          <w:color w:val="000000"/>
        </w:rPr>
        <w:t xml:space="preserve"> sind.</w:t>
      </w:r>
    </w:p>
    <w:p>
      <w:pPr>
        <w:pStyle w:val="Normal"/>
        <w:rPr>
          <w:i/>
          <w:i/>
          <w:iCs/>
          <w:color w:val="000000"/>
        </w:rPr>
      </w:pPr>
      <w:r>
        <w:rPr>
          <w:i/>
          <w:iCs/>
          <w:color w:val="000000"/>
        </w:rPr>
      </w:r>
    </w:p>
    <w:p>
      <w:pPr>
        <w:pStyle w:val="Normal"/>
        <w:pBdr>
          <w:bottom w:val="thickThinSmallGap" w:sz="20" w:space="2" w:color="000001"/>
        </w:pBdr>
        <w:rPr>
          <w:color w:val="000000"/>
        </w:rPr>
      </w:pPr>
      <w:r>
        <w:rPr>
          <w:color w:val="000000"/>
        </w:rPr>
      </w:r>
    </w:p>
    <w:p>
      <w:pPr>
        <w:pStyle w:val="Normal"/>
        <w:rPr>
          <w:color w:val="000000"/>
        </w:rPr>
      </w:pPr>
      <w:r>
        <w:rPr>
          <w:color w:val="000000"/>
        </w:rPr>
      </w:r>
    </w:p>
    <w:p>
      <w:pPr>
        <w:pStyle w:val="Normal"/>
        <w:rPr/>
      </w:pPr>
      <w:r>
        <w:rPr>
          <w:rFonts w:eastAsia="Times New Roman"/>
          <w:color w:val="000000"/>
          <w:lang w:eastAsia="de-AT"/>
        </w:rPr>
        <w:t xml:space="preserve">Diese Informationsblatt wurde der/m Klienten/in:  </w:t>
      </w:r>
      <w:r>
        <w:rPr>
          <w:rFonts w:eastAsia="Times New Roman"/>
          <w:color w:val="000000"/>
          <w:highlight w:val="yellow"/>
          <w:lang w:eastAsia="de-AT"/>
        </w:rPr>
        <w:t>………………...Name………………</w:t>
      </w:r>
    </w:p>
    <w:p>
      <w:pPr>
        <w:pStyle w:val="Normal"/>
        <w:rPr>
          <w:rFonts w:eastAsia="Times New Roman"/>
          <w:color w:val="000000"/>
          <w:lang w:eastAsia="de-AT"/>
        </w:rPr>
      </w:pPr>
      <w:r>
        <w:rPr>
          <w:rFonts w:eastAsia="Times New Roman"/>
          <w:color w:val="000000"/>
          <w:lang w:eastAsia="de-AT"/>
        </w:rPr>
        <w:t>am ………………………… in meiner Praxis vorgelegt, besprochen und wird im Archiv abgelegt.</w:t>
      </w:r>
    </w:p>
    <w:p>
      <w:pPr>
        <w:pStyle w:val="Normal"/>
        <w:rPr>
          <w:rFonts w:eastAsia="Times New Roman"/>
          <w:color w:val="000000"/>
          <w:lang w:eastAsia="de-AT"/>
        </w:rPr>
      </w:pPr>
      <w:r>
        <w:rPr>
          <w:rFonts w:eastAsia="Times New Roman"/>
          <w:color w:val="000000"/>
          <w:lang w:eastAsia="de-AT"/>
        </w:rPr>
      </w:r>
    </w:p>
    <w:p>
      <w:pPr>
        <w:pStyle w:val="Normal"/>
        <w:tabs>
          <w:tab w:val="left" w:pos="3969" w:leader="none"/>
        </w:tabs>
        <w:jc w:val="center"/>
        <w:rPr/>
      </w:pPr>
      <w:r>
        <w:rPr>
          <w:rFonts w:eastAsia="Times New Roman"/>
          <w:color w:val="000000"/>
          <w:lang w:eastAsia="de-AT"/>
        </w:rPr>
        <w:t>Auf Wunsch des Klienten ist eine Kopie zu übergeben</w:t>
      </w:r>
    </w:p>
    <w:p>
      <w:pPr>
        <w:pStyle w:val="Normal"/>
        <w:spacing w:before="0" w:after="0"/>
        <w:textAlignment w:val="auto"/>
        <w:rPr>
          <w:rFonts w:eastAsia="Arial" w:cs="Arial"/>
          <w:lang w:eastAsia="de-DE"/>
        </w:rPr>
      </w:pPr>
      <w:r>
        <w:rPr>
          <w:rFonts w:eastAsia="Arial" w:cs="Arial"/>
          <w:lang w:eastAsia="de-DE"/>
        </w:rPr>
      </w:r>
      <w:r>
        <w:br w:type="page"/>
      </w:r>
    </w:p>
    <w:p>
      <w:pPr>
        <w:pStyle w:val="Berschrift2"/>
        <w:numPr>
          <w:ilvl w:val="1"/>
          <w:numId w:val="4"/>
        </w:numPr>
        <w:rPr/>
      </w:pPr>
      <w:bookmarkStart w:id="1123" w:name="__RefHeading___Toc31899_1491107819"/>
      <w:bookmarkStart w:id="1124" w:name="_Toc511051844"/>
      <w:bookmarkStart w:id="1125" w:name="_Toc507067691"/>
      <w:bookmarkStart w:id="1126" w:name="_Toc505870282"/>
      <w:bookmarkStart w:id="1127" w:name="_Toc505854384"/>
      <w:bookmarkStart w:id="1128" w:name="_Toc505585781"/>
      <w:bookmarkStart w:id="1129" w:name="_Toc505255112"/>
      <w:bookmarkStart w:id="1130" w:name="_Toc505068759"/>
      <w:bookmarkStart w:id="1131" w:name="_Toc504472824"/>
      <w:bookmarkStart w:id="1132" w:name="_Toc513203964"/>
      <w:bookmarkStart w:id="1133" w:name="_Toc514867379"/>
      <w:bookmarkStart w:id="1134" w:name="_Toc517698085"/>
      <w:bookmarkStart w:id="1135" w:name="_Toc501360017"/>
      <w:bookmarkStart w:id="1136" w:name="_Toc504155910"/>
      <w:bookmarkStart w:id="1137" w:name="_Toc503945460"/>
      <w:bookmarkStart w:id="1138" w:name="_Toc503862798"/>
      <w:bookmarkStart w:id="1139" w:name="_Toc503781235"/>
      <w:bookmarkStart w:id="1140" w:name="_Toc503285951"/>
      <w:bookmarkStart w:id="1141" w:name="_Toc503285716"/>
      <w:bookmarkStart w:id="1142" w:name="_Toc503168942"/>
      <w:bookmarkStart w:id="1143" w:name="_Toc501715519"/>
      <w:bookmarkStart w:id="1144" w:name="_Toc501545435"/>
      <w:bookmarkStart w:id="1145" w:name="_Toc501469421"/>
      <w:bookmarkStart w:id="1146" w:name="_Toc501447682"/>
      <w:bookmarkStart w:id="1147" w:name="_Toc501369338"/>
      <w:bookmarkStart w:id="1148" w:name="_Toc501361237"/>
      <w:bookmarkEnd w:id="1123"/>
      <w:r>
        <w:rPr/>
        <w:t>Muster Datenschutzverletzung</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t xml:space="preserve"> (WKO)</w:t>
      </w:r>
      <w:bookmarkEnd w:id="1124"/>
      <w:bookmarkEnd w:id="1125"/>
      <w:bookmarkEnd w:id="1126"/>
      <w:bookmarkEnd w:id="1127"/>
      <w:bookmarkEnd w:id="1128"/>
      <w:bookmarkEnd w:id="1129"/>
      <w:bookmarkEnd w:id="1130"/>
      <w:bookmarkEnd w:id="1131"/>
      <w:bookmarkEnd w:id="1132"/>
      <w:bookmarkEnd w:id="1133"/>
      <w:bookmarkEnd w:id="1134"/>
      <w:r>
        <w:rPr/>
        <w:t xml:space="preserve"> an Behörde bzw Betroffene</w:t>
      </w:r>
    </w:p>
    <w:p>
      <w:pPr>
        <w:pStyle w:val="Normal"/>
        <w:spacing w:before="0" w:after="0"/>
        <w:jc w:val="center"/>
        <w:rPr>
          <w:b/>
          <w:b/>
          <w:sz w:val="28"/>
          <w:szCs w:val="28"/>
        </w:rPr>
      </w:pPr>
      <w:r>
        <w:rPr>
          <w:b/>
          <w:sz w:val="28"/>
          <w:szCs w:val="28"/>
        </w:rPr>
      </w:r>
    </w:p>
    <w:p>
      <w:pPr>
        <w:pStyle w:val="Normal"/>
        <w:spacing w:before="0" w:after="0"/>
        <w:jc w:val="center"/>
        <w:rPr>
          <w:b/>
          <w:b/>
          <w:sz w:val="32"/>
          <w:szCs w:val="28"/>
        </w:rPr>
      </w:pPr>
      <w:bookmarkStart w:id="1149" w:name="__RefHeading___Toc24026_2257849036"/>
      <w:bookmarkEnd w:id="1149"/>
      <w:r>
        <w:rPr>
          <w:b/>
          <w:sz w:val="32"/>
          <w:szCs w:val="28"/>
        </w:rPr>
        <w:t>Datenschutzverletzung</w:t>
      </w:r>
    </w:p>
    <w:p>
      <w:pPr>
        <w:pStyle w:val="Normal"/>
        <w:spacing w:before="0" w:after="0"/>
        <w:jc w:val="center"/>
        <w:rPr>
          <w:b/>
          <w:b/>
          <w:sz w:val="24"/>
          <w:szCs w:val="24"/>
        </w:rPr>
      </w:pPr>
      <w:r>
        <w:rPr>
          <w:b/>
          <w:sz w:val="24"/>
          <w:szCs w:val="24"/>
        </w:rPr>
      </w:r>
    </w:p>
    <w:p>
      <w:pPr>
        <w:pStyle w:val="Normal"/>
        <w:spacing w:before="0" w:after="0"/>
        <w:jc w:val="center"/>
        <w:rPr>
          <w:sz w:val="24"/>
          <w:szCs w:val="24"/>
        </w:rPr>
      </w:pPr>
      <w:r>
        <w:rPr>
          <w:sz w:val="24"/>
          <w:szCs w:val="24"/>
        </w:rPr>
        <w:t>Art 33 EU-Datenschutzgrund-Verordnung (DSGVO) -</w:t>
      </w:r>
    </w:p>
    <w:p>
      <w:pPr>
        <w:pStyle w:val="Normal"/>
        <w:spacing w:before="0" w:after="0"/>
        <w:jc w:val="center"/>
        <w:rPr>
          <w:sz w:val="24"/>
          <w:szCs w:val="24"/>
        </w:rPr>
      </w:pPr>
      <w:r>
        <w:rPr>
          <w:sz w:val="24"/>
          <w:szCs w:val="24"/>
        </w:rPr>
        <w:t>Meldung an die Aufsichtsbehörde:</w:t>
      </w:r>
    </w:p>
    <w:p>
      <w:pPr>
        <w:pStyle w:val="Normal"/>
        <w:spacing w:before="0" w:after="0"/>
        <w:jc w:val="center"/>
        <w:rPr>
          <w:sz w:val="24"/>
          <w:szCs w:val="24"/>
        </w:rPr>
      </w:pPr>
      <w:r>
        <w:rPr>
          <w:sz w:val="24"/>
          <w:szCs w:val="24"/>
        </w:rPr>
        <w:t>Österreichische Datenschutzbehörde,</w:t>
      </w:r>
    </w:p>
    <w:p>
      <w:pPr>
        <w:pStyle w:val="Normal"/>
        <w:spacing w:before="0" w:after="0"/>
        <w:jc w:val="center"/>
        <w:rPr>
          <w:sz w:val="24"/>
          <w:szCs w:val="24"/>
        </w:rPr>
      </w:pPr>
      <w:r>
        <w:rPr>
          <w:sz w:val="24"/>
          <w:szCs w:val="24"/>
        </w:rPr>
        <w:t>Hohenstaufengasse 3, 1010 Wien</w:t>
      </w:r>
    </w:p>
    <w:p>
      <w:pPr>
        <w:pStyle w:val="Normal"/>
        <w:spacing w:before="0" w:after="0"/>
        <w:jc w:val="center"/>
        <w:rPr/>
      </w:pPr>
      <w:r>
        <w:rPr>
          <w:sz w:val="24"/>
          <w:szCs w:val="24"/>
        </w:rPr>
        <w:t>E-Mail:</w:t>
      </w:r>
      <w:r>
        <w:rPr>
          <w:b/>
          <w:sz w:val="24"/>
          <w:szCs w:val="24"/>
        </w:rPr>
        <w:t xml:space="preserve"> </w:t>
      </w:r>
      <w:hyperlink r:id="rId10">
        <w:r>
          <w:rPr>
            <w:rStyle w:val="ListLabel151"/>
          </w:rPr>
          <w:t>dsb@dsb.gv.at</w:t>
        </w:r>
      </w:hyperlink>
    </w:p>
    <w:p>
      <w:pPr>
        <w:pStyle w:val="Normal"/>
        <w:rPr/>
      </w:pPr>
      <w:r>
        <w:rPr/>
      </w:r>
    </w:p>
    <w:p>
      <w:pPr>
        <w:pStyle w:val="Normal"/>
        <w:numPr>
          <w:ilvl w:val="0"/>
          <w:numId w:val="24"/>
        </w:numPr>
        <w:spacing w:before="0" w:after="120"/>
        <w:ind w:left="284" w:hanging="284"/>
        <w:rPr/>
      </w:pPr>
      <w:r>
        <w:rPr>
          <w:rFonts w:cs="Calibri"/>
          <w:sz w:val="24"/>
        </w:rPr>
        <w:t>Name und Kontaktdaten des</w:t>
      </w:r>
      <w:r>
        <w:rPr>
          <w:rFonts w:cs="Calibri"/>
          <w:b/>
          <w:sz w:val="24"/>
        </w:rPr>
        <w:t xml:space="preserve"> Verantwortlichen:</w:t>
      </w:r>
    </w:p>
    <w:p>
      <w:pPr>
        <w:pStyle w:val="Normal"/>
        <w:numPr>
          <w:ilvl w:val="1"/>
          <w:numId w:val="8"/>
        </w:numPr>
        <w:spacing w:before="0" w:after="120"/>
        <w:ind w:left="1077" w:firstLine="57"/>
        <w:rPr>
          <w:rFonts w:cs="Calibri"/>
          <w:b/>
          <w:b/>
        </w:rPr>
      </w:pPr>
      <w:r>
        <w:rPr>
          <w:rFonts w:cs="Calibri"/>
          <w:b/>
        </w:rPr>
        <w:t>Name und Anschrift:</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i/>
                <w:i/>
                <w:highlight w:val="yellow"/>
              </w:rPr>
            </w:pPr>
            <w:r>
              <w:rPr>
                <w:i/>
              </w:rPr>
              <w:tab/>
            </w:r>
            <w:r>
              <w:rPr>
                <w:i/>
                <w:highlight w:val="yellow"/>
              </w:rPr>
              <w:t>Titel / Vor-und Zuname</w:t>
            </w:r>
          </w:p>
        </w:tc>
      </w:tr>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i/>
                <w:i/>
                <w:highlight w:val="yellow"/>
              </w:rPr>
            </w:pPr>
            <w:r>
              <w:rPr>
                <w:i/>
                <w:highlight w:val="yellow"/>
              </w:rPr>
              <w:tab/>
              <w:t>Straße</w:t>
              <w:br/>
              <w:tab/>
              <w:t>PLZ-Ort</w:t>
            </w:r>
          </w:p>
        </w:tc>
      </w:tr>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rFonts w:cs="Calibri"/>
              </w:rPr>
            </w:pPr>
            <w:r>
              <w:rPr>
                <w:rFonts w:cs="Calibri"/>
              </w:rPr>
            </w:r>
          </w:p>
        </w:tc>
      </w:tr>
    </w:tbl>
    <w:p>
      <w:pPr>
        <w:pStyle w:val="Normal"/>
        <w:jc w:val="center"/>
        <w:rPr/>
      </w:pPr>
      <w:r>
        <w:rPr/>
      </w:r>
    </w:p>
    <w:p>
      <w:pPr>
        <w:pStyle w:val="Normal"/>
        <w:numPr>
          <w:ilvl w:val="1"/>
          <w:numId w:val="8"/>
        </w:numPr>
        <w:spacing w:before="0" w:after="120"/>
        <w:ind w:left="1077" w:firstLine="57"/>
        <w:rPr>
          <w:rFonts w:cs="Calibri"/>
          <w:b/>
          <w:b/>
        </w:rPr>
      </w:pPr>
      <w:r>
        <w:rPr>
          <w:rFonts w:cs="Calibri"/>
          <w:b/>
        </w:rPr>
        <w:t>E-Mail-Adresse, Tel.Nr.:</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rFonts w:cs="Calibri"/>
                <w:b/>
                <w:b/>
              </w:rPr>
            </w:pPr>
            <w:r>
              <w:rPr>
                <w:rFonts w:cs="Calibri"/>
                <w:i/>
                <w:iCs/>
                <w:color w:val="2B511A"/>
              </w:rPr>
              <w:t>Email: …………...@…………………….</w:t>
            </w:r>
          </w:p>
        </w:tc>
      </w:tr>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rFonts w:cs="Calibri"/>
                <w:color w:val="000000"/>
              </w:rPr>
            </w:pPr>
            <w:r>
              <w:rPr>
                <w:rFonts w:cs="Calibri"/>
                <w:color w:val="000000"/>
              </w:rPr>
              <w:t>Tel</w:t>
            </w:r>
          </w:p>
        </w:tc>
      </w:tr>
    </w:tbl>
    <w:p>
      <w:pPr>
        <w:pStyle w:val="Normal"/>
        <w:spacing w:before="0" w:after="0"/>
        <w:rPr>
          <w:rFonts w:cs="Calibri"/>
          <w:b/>
          <w:b/>
          <w:color w:val="000000"/>
        </w:rPr>
      </w:pPr>
      <w:r>
        <w:rPr>
          <w:rFonts w:cs="Calibri"/>
          <w:b/>
          <w:color w:val="000000"/>
        </w:rPr>
      </w:r>
    </w:p>
    <w:p>
      <w:pPr>
        <w:pStyle w:val="Normal"/>
        <w:spacing w:before="0" w:after="0"/>
        <w:rPr>
          <w:rFonts w:cs="Calibri"/>
          <w:b/>
          <w:b/>
          <w:color w:val="000000"/>
        </w:rPr>
      </w:pPr>
      <w:r>
        <w:rPr>
          <w:rFonts w:cs="Calibri"/>
          <w:b/>
          <w:color w:val="000000"/>
        </w:rPr>
      </w:r>
    </w:p>
    <w:p>
      <w:pPr>
        <w:pStyle w:val="Normal"/>
        <w:ind w:left="284" w:hanging="284"/>
        <w:rPr/>
      </w:pPr>
      <w:r>
        <w:rPr>
          <w:rFonts w:cs="Calibri"/>
          <w:b/>
          <w:color w:val="000000"/>
        </w:rPr>
        <w:t>2.</w:t>
      </w:r>
      <w:r>
        <w:rPr>
          <w:rFonts w:cs="Calibri"/>
          <w:color w:val="000000"/>
        </w:rPr>
        <w:t xml:space="preserve"> Beschreibung der </w:t>
      </w:r>
      <w:r>
        <w:rPr>
          <w:rFonts w:cs="Calibri"/>
          <w:b/>
          <w:color w:val="000000"/>
        </w:rPr>
        <w:t>Art der Verletzung</w:t>
      </w:r>
      <w:r>
        <w:rPr>
          <w:rFonts w:cs="Calibri"/>
          <w:color w:val="000000"/>
        </w:rPr>
        <w:t xml:space="preserve"> des Schutzes personenbezogener Daten:</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rPr/>
      </w:pPr>
      <w:r>
        <w:rPr>
          <w:color w:val="000000"/>
        </w:rPr>
        <w:tab/>
        <w:t xml:space="preserve">a. soweit möglich Kategorien und ungefähre Zahl der </w:t>
      </w:r>
      <w:r>
        <w:rPr>
          <w:b/>
          <w:color w:val="000000"/>
        </w:rPr>
        <w:t>betroffenen Personen</w:t>
      </w:r>
      <w:r>
        <w:rPr>
          <w:color w:val="000000"/>
        </w:rPr>
        <w:t>:</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ind w:left="357" w:hanging="0"/>
        <w:rPr/>
      </w:pPr>
      <w:r>
        <w:rPr>
          <w:color w:val="000000"/>
        </w:rPr>
        <w:tab/>
        <w:t>b. soweit möglich betroffene Kategorien und ungefähre Zahl der personenbezogenen Datensätze:</w:t>
      </w:r>
    </w:p>
    <w:tbl>
      <w:tblPr>
        <w:tblpPr w:bottomFromText="0" w:horzAnchor="margin" w:leftFromText="141" w:rightFromText="141" w:tblpX="0" w:tblpY="459" w:topFromText="0" w:vertAnchor="text"/>
        <w:tblW w:w="82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0" w:noVBand="0" w:lastRow="0" w:firstColumn="0" w:lastColumn="0" w:noHBand="0" w:val="0000"/>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ind w:left="357" w:hanging="0"/>
        <w:rPr/>
      </w:pPr>
      <w:r>
        <w:rPr>
          <w:color w:val="000000"/>
        </w:rPr>
        <w:tab/>
      </w:r>
    </w:p>
    <w:p>
      <w:pPr>
        <w:pStyle w:val="Normal"/>
        <w:spacing w:before="0" w:after="0"/>
        <w:ind w:left="357" w:hanging="0"/>
        <w:rPr>
          <w:color w:val="000000"/>
        </w:rPr>
      </w:pPr>
      <w:r>
        <w:rPr>
          <w:color w:val="000000"/>
        </w:rPr>
      </w:r>
    </w:p>
    <w:p>
      <w:pPr>
        <w:pStyle w:val="Normal"/>
        <w:spacing w:before="0" w:after="0"/>
        <w:ind w:left="284" w:hanging="284"/>
        <w:rPr/>
      </w:pPr>
      <w:r>
        <w:rPr>
          <w:b/>
          <w:color w:val="000000"/>
        </w:rPr>
        <w:t xml:space="preserve">3. </w:t>
      </w:r>
      <w:r>
        <w:rPr>
          <w:color w:val="000000"/>
        </w:rPr>
        <w:t xml:space="preserve">Beschreibung der </w:t>
      </w:r>
      <w:r>
        <w:rPr>
          <w:b/>
          <w:color w:val="000000"/>
        </w:rPr>
        <w:t>wahrscheinlichen Folgen</w:t>
      </w:r>
      <w:r>
        <w:rPr>
          <w:color w:val="000000"/>
        </w:rPr>
        <w:t xml:space="preserve"> der Verletzung des Schutzes personenbezogener Daten aufgrund einer Risikoanalyse:</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ind w:left="357" w:hanging="0"/>
        <w:rPr>
          <w:color w:val="000000"/>
        </w:rPr>
      </w:pPr>
      <w:r>
        <w:rPr>
          <w:color w:val="000000"/>
        </w:rPr>
      </w:r>
    </w:p>
    <w:p>
      <w:pPr>
        <w:pStyle w:val="Normal"/>
        <w:spacing w:before="0" w:after="0"/>
        <w:ind w:left="284" w:hanging="284"/>
        <w:rPr/>
      </w:pPr>
      <w:r>
        <w:rPr>
          <w:b/>
          <w:color w:val="000000"/>
        </w:rPr>
        <w:t xml:space="preserve">4. </w:t>
      </w:r>
      <w:r>
        <w:rPr>
          <w:color w:val="000000"/>
        </w:rPr>
        <w:t xml:space="preserve">Beschreibung der </w:t>
      </w:r>
      <w:r>
        <w:rPr>
          <w:b/>
          <w:color w:val="000000"/>
        </w:rPr>
        <w:t>ergriffenen oder vorgeschlagenen Maßnahmen</w:t>
      </w:r>
      <w:r>
        <w:rPr>
          <w:color w:val="000000"/>
        </w:rPr>
        <w:t xml:space="preserve"> zur Behebung der Verletzung:</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highlight w:val="yellow"/>
              </w:rPr>
            </w:pPr>
            <w:r>
              <w:rPr>
                <w:highlight w:val="yellow"/>
              </w:rPr>
              <w:t>Siehe TOMs</w:t>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ind w:left="357" w:hanging="0"/>
        <w:rPr>
          <w:color w:val="000000"/>
        </w:rPr>
      </w:pPr>
      <w:r>
        <w:rPr>
          <w:color w:val="000000"/>
        </w:rPr>
      </w:r>
    </w:p>
    <w:p>
      <w:pPr>
        <w:pStyle w:val="Normal"/>
        <w:numPr>
          <w:ilvl w:val="0"/>
          <w:numId w:val="25"/>
        </w:numPr>
        <w:ind w:left="1066" w:firstLine="68"/>
        <w:rPr/>
      </w:pPr>
      <w:r>
        <w:rPr>
          <w:color w:val="000000"/>
        </w:rPr>
        <w:t xml:space="preserve">ggf </w:t>
      </w:r>
      <w:r>
        <w:rPr>
          <w:b/>
          <w:color w:val="000000"/>
        </w:rPr>
        <w:t>Maßnahmen zur Abmilderung</w:t>
      </w:r>
      <w:r>
        <w:rPr>
          <w:color w:val="000000"/>
        </w:rPr>
        <w:t xml:space="preserve"> der Auswirkungen der Verletzung:</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ind w:left="357" w:hanging="0"/>
        <w:rPr>
          <w:color w:val="000000"/>
        </w:rPr>
      </w:pPr>
      <w:r>
        <w:rPr>
          <w:color w:val="000000"/>
        </w:rPr>
      </w:r>
    </w:p>
    <w:p>
      <w:pPr>
        <w:pStyle w:val="Normal"/>
        <w:spacing w:before="0" w:after="0"/>
        <w:ind w:left="284" w:hanging="284"/>
        <w:rPr/>
      </w:pPr>
      <w:r>
        <w:rPr>
          <w:b/>
          <w:color w:val="000000"/>
        </w:rPr>
        <w:t>5</w:t>
      </w:r>
      <w:r>
        <w:rPr>
          <w:color w:val="000000"/>
        </w:rPr>
        <w:t xml:space="preserve">. </w:t>
      </w:r>
      <w:r>
        <w:rPr>
          <w:b/>
          <w:color w:val="000000"/>
        </w:rPr>
        <w:t xml:space="preserve">Datum und Uhrzeit </w:t>
      </w:r>
      <w:r>
        <w:rPr>
          <w:color w:val="000000"/>
        </w:rPr>
        <w:t>des Vorfalls:</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ind w:left="284" w:hanging="0"/>
        <w:rPr>
          <w:color w:val="000000"/>
        </w:rPr>
      </w:pPr>
      <w:r>
        <w:rPr>
          <w:color w:val="000000"/>
        </w:rPr>
      </w:r>
    </w:p>
    <w:p>
      <w:pPr>
        <w:pStyle w:val="Normal"/>
        <w:spacing w:before="0" w:after="0"/>
        <w:ind w:left="284" w:hanging="0"/>
        <w:rPr/>
      </w:pPr>
      <w:r>
        <w:rPr>
          <w:rFonts w:cs="Calibri"/>
          <w:b/>
          <w:sz w:val="28"/>
          <w:u w:val="single"/>
        </w:rPr>
        <w:t xml:space="preserve">□ </w:t>
      </w:r>
      <w:r>
        <w:rPr>
          <w:b/>
          <w:color w:val="000000"/>
        </w:rPr>
        <w:t>Begründung</w:t>
      </w:r>
      <w:r>
        <w:rPr>
          <w:color w:val="000000"/>
        </w:rPr>
        <w:t>, falls die Meldung länger als 72h nach dem Vorfall erfolgte:</w:t>
      </w:r>
    </w:p>
    <w:tbl>
      <w:tblPr>
        <w:tblW w:w="7982"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7982"/>
      </w:tblGrid>
      <w:tr>
        <w:trPr>
          <w:trHeight w:val="340" w:hRule="exact"/>
        </w:trPr>
        <w:tc>
          <w:tcPr>
            <w:tcW w:w="7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7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7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lineRule="auto" w:line="276" w:before="0" w:after="200"/>
        <w:rPr>
          <w:b/>
          <w:b/>
          <w:color w:val="000000"/>
          <w:sz w:val="28"/>
          <w:szCs w:val="28"/>
          <w:u w:val="single"/>
        </w:rPr>
      </w:pPr>
      <w:r>
        <w:rPr>
          <w:b/>
          <w:color w:val="000000"/>
          <w:sz w:val="28"/>
          <w:szCs w:val="28"/>
          <w:u w:val="single"/>
        </w:rPr>
      </w:r>
    </w:p>
    <w:p>
      <w:pPr>
        <w:pStyle w:val="Normal"/>
        <w:jc w:val="right"/>
        <w:rPr>
          <w:color w:val="000000"/>
          <w:lang w:eastAsia="de-AT"/>
        </w:rPr>
      </w:pPr>
      <w:bookmarkStart w:id="1150" w:name="__RefHeading___Toc24028_2257849036"/>
      <w:bookmarkEnd w:id="1150"/>
      <w:r>
        <w:rPr>
          <w:color w:val="000000"/>
          <w:lang w:eastAsia="de-AT"/>
        </w:rPr>
        <w:t>Wien, am ………………….</w:t>
      </w:r>
    </w:p>
    <w:p>
      <w:pPr>
        <w:pStyle w:val="Normal"/>
        <w:jc w:val="right"/>
        <w:rPr>
          <w:color w:val="000000"/>
          <w:lang w:eastAsia="de-AT"/>
        </w:rPr>
      </w:pPr>
      <w:r>
        <w:rPr>
          <w:color w:val="000000"/>
          <w:lang w:eastAsia="de-AT"/>
        </w:rPr>
      </w:r>
    </w:p>
    <w:p>
      <w:pPr>
        <w:pStyle w:val="Normal"/>
        <w:jc w:val="right"/>
        <w:rPr>
          <w:color w:val="000000"/>
          <w:lang w:eastAsia="de-AT"/>
        </w:rPr>
      </w:pPr>
      <w:r>
        <w:rPr>
          <w:color w:val="000000"/>
          <w:lang w:eastAsia="de-AT"/>
        </w:rPr>
      </w:r>
    </w:p>
    <w:p>
      <w:pPr>
        <w:pStyle w:val="Normal"/>
        <w:rPr>
          <w:color w:val="000000"/>
          <w:lang w:eastAsia="de-AT"/>
        </w:rPr>
      </w:pPr>
      <w:r>
        <w:rPr>
          <w:color w:val="000000"/>
          <w:lang w:eastAsia="de-AT"/>
        </w:rPr>
      </w:r>
    </w:p>
    <w:p>
      <w:pPr>
        <w:pStyle w:val="Normal"/>
        <w:rPr>
          <w:rFonts w:ascii="Cambria" w:hAnsi="Cambria" w:eastAsia="Times New Roman"/>
          <w:b/>
          <w:b/>
          <w:bCs/>
          <w:color w:val="548DD4"/>
          <w:sz w:val="26"/>
          <w:szCs w:val="26"/>
        </w:rPr>
      </w:pPr>
      <w:r>
        <w:rPr>
          <w:color w:val="000000"/>
          <w:lang w:eastAsia="de-AT"/>
        </w:rPr>
        <w:t>……………………………………………………………</w:t>
      </w:r>
      <w:r>
        <w:rPr>
          <w:color w:val="000000"/>
          <w:lang w:eastAsia="de-AT"/>
        </w:rPr>
        <w:t>.</w:t>
        <w:br/>
        <w:t>Unterschrift</w:t>
      </w:r>
      <w:bookmarkStart w:id="1151" w:name="_Toc501360018"/>
      <w:bookmarkStart w:id="1152" w:name="_Toc501127999"/>
      <w:bookmarkStart w:id="1153" w:name="_Toc504472825"/>
      <w:bookmarkStart w:id="1154" w:name="_Toc505068760"/>
      <w:bookmarkStart w:id="1155" w:name="_Toc505255113"/>
      <w:bookmarkStart w:id="1156" w:name="_Toc505585782"/>
      <w:bookmarkStart w:id="1157" w:name="_Toc505854385"/>
      <w:bookmarkStart w:id="1158" w:name="_Toc505870283"/>
      <w:bookmarkStart w:id="1159" w:name="_Toc501361238"/>
      <w:bookmarkStart w:id="1160" w:name="_Toc501369339"/>
      <w:bookmarkStart w:id="1161" w:name="_Toc501447683"/>
      <w:bookmarkStart w:id="1162" w:name="_Toc501469422"/>
      <w:bookmarkStart w:id="1163" w:name="_Toc501545436"/>
      <w:bookmarkStart w:id="1164" w:name="_Toc501715520"/>
      <w:bookmarkStart w:id="1165" w:name="_Toc503168943"/>
      <w:bookmarkStart w:id="1166" w:name="_Toc503285717"/>
      <w:bookmarkStart w:id="1167" w:name="_Toc503285952"/>
      <w:bookmarkStart w:id="1168" w:name="_Toc503781236"/>
      <w:bookmarkStart w:id="1169" w:name="_Toc503862799"/>
      <w:bookmarkStart w:id="1170" w:name="_Toc503945461"/>
      <w:bookmarkStart w:id="1171" w:name="_Toc504155911"/>
    </w:p>
    <w:p>
      <w:pPr>
        <w:pStyle w:val="Berschrift2"/>
        <w:keepLines/>
        <w:widowControl/>
        <w:numPr>
          <w:ilvl w:val="0"/>
          <w:numId w:val="0"/>
        </w:numPr>
        <w:jc w:val="left"/>
        <w:textAlignment w:val="baseline"/>
        <w:outlineLvl w:val="1"/>
        <w:rPr/>
      </w:pPr>
      <w:r>
        <w:rPr/>
      </w:r>
      <w:r>
        <w:br w:type="page"/>
      </w:r>
    </w:p>
    <w:p>
      <w:pPr>
        <w:pStyle w:val="Berschrift2"/>
        <w:numPr>
          <w:ilvl w:val="1"/>
          <w:numId w:val="4"/>
        </w:numPr>
        <w:rPr/>
      </w:pPr>
      <w:bookmarkStart w:id="1172" w:name="__RefHeading___Toc31901_1491107819"/>
      <w:bookmarkStart w:id="1173" w:name="_Toc511051845"/>
      <w:bookmarkStart w:id="1174" w:name="_Toc507067692"/>
      <w:bookmarkStart w:id="1175" w:name="_Toc513203965"/>
      <w:bookmarkStart w:id="1176" w:name="_Toc514867380"/>
      <w:bookmarkStart w:id="1177" w:name="_Toc517698086"/>
      <w:bookmarkEnd w:id="1172"/>
      <w:r>
        <w:rPr/>
        <w:t>Mustervertrag Auftragsverarbeitung</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t xml:space="preserve"> (WKO)</w:t>
      </w:r>
      <w:bookmarkEnd w:id="1153"/>
      <w:bookmarkEnd w:id="1154"/>
      <w:bookmarkEnd w:id="1155"/>
      <w:bookmarkEnd w:id="1156"/>
      <w:bookmarkEnd w:id="1157"/>
      <w:bookmarkEnd w:id="1158"/>
      <w:bookmarkEnd w:id="1173"/>
      <w:bookmarkEnd w:id="1174"/>
      <w:bookmarkEnd w:id="1175"/>
      <w:bookmarkEnd w:id="1176"/>
      <w:bookmarkEnd w:id="1177"/>
    </w:p>
    <w:p>
      <w:pPr>
        <w:pStyle w:val="Normal"/>
        <w:jc w:val="center"/>
        <w:rPr/>
      </w:pPr>
      <w:bookmarkStart w:id="1178" w:name="_Toc501545437"/>
      <w:bookmarkStart w:id="1179" w:name="_Toc507067693"/>
      <w:bookmarkStart w:id="1180" w:name="_Toc506978449"/>
      <w:bookmarkStart w:id="1181" w:name="_Toc506370622"/>
      <w:bookmarkStart w:id="1182" w:name="_Toc505870284"/>
      <w:bookmarkStart w:id="1183" w:name="_Toc505854386"/>
      <w:bookmarkStart w:id="1184" w:name="_Toc505585783"/>
      <w:bookmarkStart w:id="1185" w:name="_Toc505255114"/>
      <w:bookmarkStart w:id="1186" w:name="_Toc505068761"/>
      <w:bookmarkStart w:id="1187" w:name="_Toc504472826"/>
      <w:bookmarkStart w:id="1188" w:name="_Toc504155912"/>
      <w:bookmarkStart w:id="1189" w:name="_Toc503945462"/>
      <w:bookmarkStart w:id="1190" w:name="_Toc503862800"/>
      <w:bookmarkStart w:id="1191" w:name="_Toc503781237"/>
      <w:bookmarkStart w:id="1192" w:name="_Toc503780917"/>
      <w:bookmarkStart w:id="1193" w:name="_Toc503285953"/>
      <w:bookmarkStart w:id="1194" w:name="_Toc503285718"/>
      <w:bookmarkStart w:id="1195" w:name="_Toc503168944"/>
      <w:bookmarkStart w:id="1196" w:name="_Toc501715521"/>
      <w:r>
        <w:rPr>
          <w:rFonts w:cs="Calibri Light" w:cstheme="majorHAnsi"/>
          <w:b/>
          <w:bCs/>
          <w:spacing w:val="40"/>
          <w:sz w:val="28"/>
          <w:szCs w:val="28"/>
        </w:rPr>
        <w:t>Vereinbarung</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rFonts w:cs="Calibri Light" w:cstheme="majorHAnsi"/>
          <w:b/>
          <w:bCs/>
          <w:spacing w:val="40"/>
          <w:sz w:val="28"/>
          <w:szCs w:val="28"/>
        </w:rPr>
        <w:t xml:space="preserve"> </w:t>
      </w:r>
      <w:bookmarkStart w:id="1197" w:name="_Toc501545438"/>
      <w:bookmarkStart w:id="1198" w:name="_Toc507067694"/>
      <w:bookmarkStart w:id="1199" w:name="_Toc506978450"/>
      <w:bookmarkStart w:id="1200" w:name="_Toc506370623"/>
      <w:bookmarkStart w:id="1201" w:name="_Toc505870285"/>
      <w:bookmarkStart w:id="1202" w:name="_Toc505854387"/>
      <w:bookmarkStart w:id="1203" w:name="_Toc505585784"/>
      <w:bookmarkStart w:id="1204" w:name="_Toc505255115"/>
      <w:bookmarkStart w:id="1205" w:name="_Toc505068762"/>
      <w:bookmarkStart w:id="1206" w:name="_Toc504472827"/>
      <w:bookmarkStart w:id="1207" w:name="_Toc504155913"/>
      <w:bookmarkStart w:id="1208" w:name="_Toc503945463"/>
      <w:bookmarkStart w:id="1209" w:name="_Toc503862801"/>
      <w:bookmarkStart w:id="1210" w:name="_Toc503781238"/>
      <w:bookmarkStart w:id="1211" w:name="_Toc503780918"/>
      <w:bookmarkStart w:id="1212" w:name="_Toc503285954"/>
      <w:bookmarkStart w:id="1213" w:name="_Toc503285719"/>
      <w:bookmarkStart w:id="1214" w:name="_Toc503168945"/>
      <w:bookmarkStart w:id="1215" w:name="_Toc501715522"/>
      <w:r>
        <w:rPr>
          <w:rFonts w:cs="Calibri Light" w:cstheme="majorHAnsi"/>
          <w:b/>
          <w:bCs/>
          <w:sz w:val="28"/>
          <w:szCs w:val="28"/>
        </w:rPr>
        <w:t>über eine</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rFonts w:cs="Calibri Light" w:cstheme="majorHAnsi"/>
          <w:b/>
          <w:bCs/>
          <w:sz w:val="28"/>
          <w:szCs w:val="28"/>
        </w:rPr>
        <w:t xml:space="preserve"> </w:t>
      </w:r>
      <w:bookmarkStart w:id="1216" w:name="_Toc501545439"/>
      <w:bookmarkStart w:id="1217" w:name="_Toc507067695"/>
      <w:bookmarkStart w:id="1218" w:name="_Toc506978451"/>
      <w:bookmarkStart w:id="1219" w:name="_Toc506370624"/>
      <w:bookmarkStart w:id="1220" w:name="_Toc505870286"/>
      <w:bookmarkStart w:id="1221" w:name="_Toc505854388"/>
      <w:bookmarkStart w:id="1222" w:name="_Toc505585785"/>
      <w:bookmarkStart w:id="1223" w:name="_Toc505255116"/>
      <w:bookmarkStart w:id="1224" w:name="_Toc505068763"/>
      <w:bookmarkStart w:id="1225" w:name="_Toc504472828"/>
      <w:bookmarkStart w:id="1226" w:name="_Toc504155914"/>
      <w:bookmarkStart w:id="1227" w:name="_Toc503945464"/>
      <w:bookmarkStart w:id="1228" w:name="_Toc503862802"/>
      <w:bookmarkStart w:id="1229" w:name="_Toc503781239"/>
      <w:bookmarkStart w:id="1230" w:name="_Toc503780919"/>
      <w:bookmarkStart w:id="1231" w:name="_Toc503285955"/>
      <w:bookmarkStart w:id="1232" w:name="_Toc503285720"/>
      <w:bookmarkStart w:id="1233" w:name="_Toc503168946"/>
      <w:bookmarkStart w:id="1234" w:name="_Toc501715523"/>
      <w:r>
        <w:rPr>
          <w:rFonts w:cs="Calibri Light" w:cstheme="majorHAnsi"/>
          <w:b/>
          <w:bCs/>
          <w:sz w:val="28"/>
          <w:szCs w:val="28"/>
        </w:rPr>
        <w:t>Auftragsverarbeitung nach Art 28 DSGVO</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tbl>
      <w:tblPr>
        <w:tblW w:w="10020" w:type="dxa"/>
        <w:jc w:val="center"/>
        <w:tblInd w:w="0" w:type="dxa"/>
        <w:tblBorders/>
        <w:tblCellMar>
          <w:top w:w="0" w:type="dxa"/>
          <w:left w:w="70" w:type="dxa"/>
          <w:bottom w:w="0" w:type="dxa"/>
          <w:right w:w="70" w:type="dxa"/>
        </w:tblCellMar>
        <w:tblLook w:firstRow="0" w:noVBand="0" w:lastRow="0" w:firstColumn="0" w:lastColumn="0" w:noHBand="0" w:val="0000"/>
      </w:tblPr>
      <w:tblGrid>
        <w:gridCol w:w="4441"/>
        <w:gridCol w:w="727"/>
        <w:gridCol w:w="4852"/>
      </w:tblGrid>
      <w:tr>
        <w:trPr>
          <w:trHeight w:val="396" w:hRule="atLeast"/>
        </w:trPr>
        <w:tc>
          <w:tcPr>
            <w:tcW w:w="4441" w:type="dxa"/>
            <w:tcBorders/>
            <w:shd w:fill="auto" w:val="clear"/>
          </w:tcPr>
          <w:p>
            <w:pPr>
              <w:pStyle w:val="Normal"/>
              <w:spacing w:before="0" w:after="160"/>
              <w:jc w:val="center"/>
              <w:rPr/>
            </w:pPr>
            <w:r>
              <w:rPr/>
              <w:t>Der Verantwortliche:</w:t>
            </w:r>
          </w:p>
        </w:tc>
        <w:tc>
          <w:tcPr>
            <w:tcW w:w="727" w:type="dxa"/>
            <w:tcBorders/>
            <w:shd w:fill="auto" w:val="clear"/>
          </w:tcPr>
          <w:p>
            <w:pPr>
              <w:pStyle w:val="Normal"/>
              <w:spacing w:before="0" w:after="160"/>
              <w:rPr>
                <w:i/>
                <w:i/>
              </w:rPr>
            </w:pPr>
            <w:r>
              <w:rPr>
                <w:i/>
              </w:rPr>
            </w:r>
          </w:p>
        </w:tc>
        <w:tc>
          <w:tcPr>
            <w:tcW w:w="4852" w:type="dxa"/>
            <w:tcBorders/>
            <w:shd w:fill="auto" w:val="clear"/>
          </w:tcPr>
          <w:p>
            <w:pPr>
              <w:pStyle w:val="Normal"/>
              <w:spacing w:before="0" w:after="160"/>
              <w:jc w:val="center"/>
              <w:rPr/>
            </w:pPr>
            <w:r>
              <w:rPr/>
              <w:t>Der Auftragsverarbeiter:</w:t>
            </w:r>
          </w:p>
        </w:tc>
      </w:tr>
      <w:tr>
        <w:trPr>
          <w:trHeight w:val="83" w:hRule="atLeast"/>
        </w:trPr>
        <w:tc>
          <w:tcPr>
            <w:tcW w:w="4441" w:type="dxa"/>
            <w:tcBorders/>
            <w:shd w:fill="auto" w:val="clear"/>
          </w:tcPr>
          <w:p>
            <w:pPr>
              <w:pStyle w:val="Normal"/>
              <w:rPr>
                <w:rFonts w:cs="Calibri"/>
                <w:i/>
                <w:i/>
                <w:iCs/>
                <w:color w:val="2B511A"/>
              </w:rPr>
            </w:pPr>
            <w:r>
              <w:rPr>
                <w:rFonts w:cs="Calibri"/>
                <w:i/>
                <w:iCs/>
                <w:color w:val="2B511A"/>
              </w:rPr>
            </w:r>
          </w:p>
          <w:p>
            <w:pPr>
              <w:pStyle w:val="Normal"/>
              <w:spacing w:before="0" w:after="160"/>
              <w:jc w:val="center"/>
              <w:rPr>
                <w:rFonts w:cs="Calibri"/>
              </w:rPr>
            </w:pPr>
            <w:r>
              <w:rPr>
                <w:rFonts w:cs="Calibri"/>
                <w:i/>
                <w:iCs/>
                <w:color w:val="2B511A"/>
                <w:highlight w:val="yellow"/>
              </w:rPr>
              <w:t>Titel / Name</w:t>
              <w:br/>
              <w:t>Adresse</w:t>
              <w:br/>
              <w:t>PLZ-Ort</w:t>
              <w:br/>
              <w:t>Email</w:t>
            </w:r>
          </w:p>
        </w:tc>
        <w:tc>
          <w:tcPr>
            <w:tcW w:w="727" w:type="dxa"/>
            <w:tcBorders/>
            <w:shd w:fill="auto" w:val="clear"/>
          </w:tcPr>
          <w:p>
            <w:pPr>
              <w:pStyle w:val="Normal"/>
              <w:widowControl/>
              <w:bidi w:val="0"/>
              <w:spacing w:before="0" w:after="160"/>
              <w:jc w:val="left"/>
              <w:textAlignment w:val="baseline"/>
              <w:rPr/>
            </w:pPr>
            <w:r>
              <w:rPr/>
            </w:r>
          </w:p>
        </w:tc>
        <w:tc>
          <w:tcPr>
            <w:tcW w:w="4852" w:type="dxa"/>
            <w:tcBorders/>
            <w:shd w:fill="auto" w:val="clear"/>
          </w:tcPr>
          <w:p>
            <w:pPr>
              <w:pStyle w:val="Normal"/>
              <w:rPr/>
            </w:pPr>
            <w:r>
              <w:rPr/>
            </w:r>
          </w:p>
          <w:p>
            <w:pPr>
              <w:pStyle w:val="Normal"/>
              <w:jc w:val="center"/>
              <w:rPr>
                <w:b/>
                <w:b/>
                <w:highlight w:val="yellow"/>
              </w:rPr>
            </w:pPr>
            <w:r>
              <w:rPr>
                <w:b/>
                <w:highlight w:val="yellow"/>
              </w:rPr>
              <w:t>Siehe Anleitung</w:t>
            </w:r>
          </w:p>
          <w:p>
            <w:pPr>
              <w:pStyle w:val="Normal"/>
              <w:spacing w:before="0" w:after="160"/>
              <w:jc w:val="center"/>
              <w:rPr/>
            </w:pPr>
            <w:r>
              <w:rPr>
                <w:highlight w:val="yellow"/>
              </w:rPr>
              <w:t>[</w:t>
            </w:r>
            <w:r>
              <w:rPr>
                <w:i/>
                <w:highlight w:val="yellow"/>
              </w:rPr>
              <w:t>Anschrift</w:t>
            </w:r>
            <w:r>
              <w:rPr>
                <w:highlight w:val="yellow"/>
              </w:rPr>
              <w:t>]</w:t>
            </w:r>
          </w:p>
        </w:tc>
      </w:tr>
      <w:tr>
        <w:trPr>
          <w:trHeight w:val="83" w:hRule="atLeast"/>
        </w:trPr>
        <w:tc>
          <w:tcPr>
            <w:tcW w:w="4441" w:type="dxa"/>
            <w:tcBorders/>
            <w:shd w:fill="auto" w:val="clear"/>
          </w:tcPr>
          <w:p>
            <w:pPr>
              <w:pStyle w:val="Normal"/>
              <w:spacing w:before="0" w:after="160"/>
              <w:jc w:val="center"/>
              <w:rPr/>
            </w:pPr>
            <w:r>
              <w:rPr/>
              <w:t>(im Folgenden Auftraggeber)</w:t>
            </w:r>
          </w:p>
        </w:tc>
        <w:tc>
          <w:tcPr>
            <w:tcW w:w="727" w:type="dxa"/>
            <w:tcBorders/>
            <w:shd w:fill="auto" w:val="clear"/>
          </w:tcPr>
          <w:p>
            <w:pPr>
              <w:pStyle w:val="Normal"/>
              <w:widowControl/>
              <w:bidi w:val="0"/>
              <w:spacing w:before="0" w:after="160"/>
              <w:jc w:val="left"/>
              <w:textAlignment w:val="baseline"/>
              <w:rPr/>
            </w:pPr>
            <w:r>
              <w:rPr/>
            </w:r>
          </w:p>
        </w:tc>
        <w:tc>
          <w:tcPr>
            <w:tcW w:w="4852" w:type="dxa"/>
            <w:tcBorders/>
            <w:shd w:fill="auto" w:val="clear"/>
          </w:tcPr>
          <w:p>
            <w:pPr>
              <w:pStyle w:val="Normal"/>
              <w:spacing w:before="0" w:after="160"/>
              <w:jc w:val="center"/>
              <w:rPr/>
            </w:pPr>
            <w:r>
              <w:rPr/>
              <w:t>(im Folgenden Auftragnehmer)</w:t>
            </w:r>
          </w:p>
        </w:tc>
      </w:tr>
    </w:tbl>
    <w:p>
      <w:pPr>
        <w:pStyle w:val="Berschrift3"/>
        <w:numPr>
          <w:ilvl w:val="2"/>
          <w:numId w:val="4"/>
        </w:numPr>
        <w:rPr/>
      </w:pPr>
      <w:bookmarkStart w:id="1235" w:name="__RefHeading___Toc12452_3966647769"/>
      <w:bookmarkStart w:id="1236" w:name="_Toc511051846"/>
      <w:bookmarkStart w:id="1237" w:name="_Toc501128010"/>
      <w:bookmarkStart w:id="1238" w:name="_Toc507067696"/>
      <w:bookmarkStart w:id="1239" w:name="_Toc506978452"/>
      <w:bookmarkStart w:id="1240" w:name="_Toc506370625"/>
      <w:bookmarkStart w:id="1241" w:name="_Toc505870287"/>
      <w:bookmarkStart w:id="1242" w:name="_Toc505854389"/>
      <w:bookmarkStart w:id="1243" w:name="_Toc505585786"/>
      <w:bookmarkStart w:id="1244" w:name="_Toc505255117"/>
      <w:bookmarkStart w:id="1245" w:name="_Toc505068764"/>
      <w:bookmarkStart w:id="1246" w:name="_Toc504472829"/>
      <w:bookmarkStart w:id="1247" w:name="_Toc504155915"/>
      <w:bookmarkStart w:id="1248" w:name="_Toc503945465"/>
      <w:bookmarkStart w:id="1249" w:name="_Toc503862803"/>
      <w:bookmarkStart w:id="1250" w:name="_Toc503781240"/>
      <w:bookmarkStart w:id="1251" w:name="_Toc503780920"/>
      <w:bookmarkStart w:id="1252" w:name="_Toc503285956"/>
      <w:bookmarkStart w:id="1253" w:name="_Toc503285721"/>
      <w:bookmarkStart w:id="1254" w:name="_Toc503168947"/>
      <w:bookmarkStart w:id="1255" w:name="_Toc501715524"/>
      <w:bookmarkStart w:id="1256" w:name="_Toc501545440"/>
      <w:bookmarkStart w:id="1257" w:name="_Toc501469423"/>
      <w:bookmarkStart w:id="1258" w:name="_Toc501447684"/>
      <w:bookmarkStart w:id="1259" w:name="_Toc501369340"/>
      <w:bookmarkStart w:id="1260" w:name="_Toc501361239"/>
      <w:bookmarkEnd w:id="1235"/>
      <w:r>
        <w:rPr/>
        <w:t>Gegenstand der Vereinbarung</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Normal"/>
        <w:numPr>
          <w:ilvl w:val="0"/>
          <w:numId w:val="26"/>
        </w:numPr>
        <w:rPr/>
      </w:pPr>
      <w:r>
        <w:rPr>
          <w:rFonts w:cs="Calibri"/>
        </w:rPr>
        <w:t>Gegenstand dieses Auftrages ist die Durchführung folgender Aufgaben: [</w:t>
      </w:r>
      <w:r>
        <w:rPr>
          <w:rFonts w:cs="Calibri"/>
          <w:i/>
        </w:rPr>
        <w:t>möglichst detaillierte Beschreibung der Aufgaben des Auftragnehmers, einschließlich Art und Zweck der vorgesehenen Verarbeitung].</w:t>
      </w:r>
    </w:p>
    <w:p>
      <w:pPr>
        <w:pStyle w:val="Normal"/>
        <w:ind w:left="360" w:hanging="0"/>
        <w:rPr/>
      </w:pPr>
      <w:r>
        <w:rPr>
          <w:rFonts w:cs="Calibri"/>
          <w:u w:val="single"/>
        </w:rPr>
        <w:t>{Falls es einen weitergehenden Rahmenvertrag, Werkvertrag, Leistungsvereinbarung, udgl gibt}</w:t>
      </w:r>
      <w:r>
        <w:rPr>
          <w:rFonts w:cs="Calibri"/>
        </w:rPr>
        <w:t xml:space="preserve"> Diese Vereinbarung ist als Ergänzung zu [</w:t>
      </w:r>
      <w:r>
        <w:rPr>
          <w:rFonts w:cs="Calibri"/>
          <w:i/>
        </w:rPr>
        <w:t>Vertrag, etc samt Datum ergänzen</w:t>
      </w:r>
      <w:r>
        <w:rPr>
          <w:rFonts w:cs="Calibri"/>
        </w:rPr>
        <w:t>] zu verstehen.</w:t>
      </w:r>
    </w:p>
    <w:p>
      <w:pPr>
        <w:pStyle w:val="Normal"/>
        <w:numPr>
          <w:ilvl w:val="0"/>
          <w:numId w:val="26"/>
        </w:numPr>
        <w:rPr/>
      </w:pPr>
      <w:r>
        <w:rPr>
          <w:rFonts w:cs="Calibri"/>
        </w:rPr>
        <w:t>Folgende Datenkategorien werden verarbeitet: [</w:t>
      </w:r>
      <w:r>
        <w:rPr>
          <w:rFonts w:cs="Calibri"/>
          <w:i/>
        </w:rPr>
        <w:t>Datenkategorien möglichst detailliert aufzählen, zB Kontaktdaten, Vertragsdaten, Verrechnungsdaten, Bonitätsdaten, Bestelldaten, Entgeltdaten, usw. bzw. als Anhang</w:t>
      </w:r>
      <w:r>
        <w:rPr>
          <w:rFonts w:cs="Calibri"/>
        </w:rPr>
        <w:t>.</w:t>
      </w:r>
    </w:p>
    <w:p>
      <w:pPr>
        <w:pStyle w:val="Normal"/>
        <w:numPr>
          <w:ilvl w:val="0"/>
          <w:numId w:val="26"/>
        </w:numPr>
        <w:rPr/>
      </w:pPr>
      <w:r>
        <w:rPr>
          <w:rFonts w:cs="Calibri"/>
        </w:rPr>
        <w:t>Folgende Kategorien betroffener Personen werden unterliegen der Verarbeitung: [</w:t>
      </w:r>
      <w:r>
        <w:rPr>
          <w:rFonts w:cs="Calibri"/>
          <w:i/>
        </w:rPr>
        <w:t>Betroffenenkategorien ergänzen wie zB Klienten, Lieferanten, Ansprechpartner, Kollegen, Beschäftigte, usw.</w:t>
      </w:r>
      <w:r>
        <w:rPr>
          <w:rFonts w:cs="Calibri"/>
        </w:rPr>
        <w:t>]</w:t>
      </w:r>
    </w:p>
    <w:p>
      <w:pPr>
        <w:pStyle w:val="Berschrift3"/>
        <w:numPr>
          <w:ilvl w:val="2"/>
          <w:numId w:val="4"/>
        </w:numPr>
        <w:rPr/>
      </w:pPr>
      <w:bookmarkStart w:id="1261" w:name="__RefHeading___Toc12454_3966647769"/>
      <w:bookmarkStart w:id="1262" w:name="_Toc511051847"/>
      <w:bookmarkStart w:id="1263" w:name="_Toc501128011"/>
      <w:bookmarkStart w:id="1264" w:name="_Toc507067697"/>
      <w:bookmarkStart w:id="1265" w:name="_Toc506978453"/>
      <w:bookmarkStart w:id="1266" w:name="_Toc506370626"/>
      <w:bookmarkStart w:id="1267" w:name="_Toc505870288"/>
      <w:bookmarkStart w:id="1268" w:name="_Toc505854390"/>
      <w:bookmarkStart w:id="1269" w:name="_Toc505585787"/>
      <w:bookmarkStart w:id="1270" w:name="_Toc505255118"/>
      <w:bookmarkStart w:id="1271" w:name="_Toc505068765"/>
      <w:bookmarkStart w:id="1272" w:name="_Toc504472830"/>
      <w:bookmarkStart w:id="1273" w:name="_Toc504155916"/>
      <w:bookmarkStart w:id="1274" w:name="_Toc503945466"/>
      <w:bookmarkStart w:id="1275" w:name="_Toc503862804"/>
      <w:bookmarkStart w:id="1276" w:name="_Toc503781241"/>
      <w:bookmarkStart w:id="1277" w:name="_Toc503780921"/>
      <w:bookmarkStart w:id="1278" w:name="_Toc503285957"/>
      <w:bookmarkStart w:id="1279" w:name="_Toc503285722"/>
      <w:bookmarkStart w:id="1280" w:name="_Toc503168948"/>
      <w:bookmarkStart w:id="1281" w:name="_Toc501715525"/>
      <w:bookmarkStart w:id="1282" w:name="_Toc501545441"/>
      <w:bookmarkStart w:id="1283" w:name="_Toc501469424"/>
      <w:bookmarkStart w:id="1284" w:name="_Toc501447685"/>
      <w:bookmarkStart w:id="1285" w:name="_Toc501369341"/>
      <w:bookmarkStart w:id="1286" w:name="_Toc501361240"/>
      <w:bookmarkEnd w:id="1261"/>
      <w:r>
        <w:rPr/>
        <w:t>Dauer der Vereinbarung</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Normal"/>
        <w:rPr/>
      </w:pPr>
      <w:r>
        <w:rPr>
          <w:rFonts w:cs="Calibri"/>
          <w:b/>
          <w:sz w:val="28"/>
          <w:u w:val="single"/>
        </w:rPr>
        <w:t xml:space="preserve">□ </w:t>
      </w:r>
      <w:r>
        <w:rPr>
          <w:u w:val="single"/>
        </w:rPr>
        <w:t>{Einmalige Durchführung}</w:t>
      </w:r>
      <w:r>
        <w:rPr/>
        <w:t xml:space="preserve"> Die Vereinbarung endet mit einmaliger Durchführung der Arbeiten.</w:t>
      </w:r>
    </w:p>
    <w:p>
      <w:pPr>
        <w:pStyle w:val="Normal"/>
        <w:spacing w:before="120" w:after="160"/>
        <w:rPr/>
      </w:pPr>
      <w:r>
        <w:rPr>
          <w:rFonts w:cs="Calibri"/>
          <w:b/>
          <w:sz w:val="28"/>
          <w:u w:val="single"/>
        </w:rPr>
        <w:t xml:space="preserve">□ </w:t>
      </w:r>
      <w:r>
        <w:rPr>
          <w:u w:val="single"/>
        </w:rPr>
        <w:t>{Befristete Laufzeit}</w:t>
      </w:r>
      <w:r>
        <w:rPr/>
        <w:t xml:space="preserve"> Die Vereinbarung ist befristet abgeschlossen und endet mit [</w:t>
      </w:r>
      <w:r>
        <w:rPr>
          <w:i/>
        </w:rPr>
        <w:t>Fristende eintragen</w:t>
      </w:r>
      <w:r>
        <w:rPr/>
        <w:t>]</w:t>
      </w:r>
    </w:p>
    <w:p>
      <w:pPr>
        <w:pStyle w:val="Normal"/>
        <w:spacing w:before="120" w:after="160"/>
        <w:rPr/>
      </w:pPr>
      <w:r>
        <w:rPr>
          <w:rFonts w:cs="Calibri"/>
          <w:b/>
          <w:sz w:val="28"/>
          <w:u w:val="single"/>
        </w:rPr>
        <w:t xml:space="preserve">□ </w:t>
      </w:r>
      <w:r>
        <w:rPr>
          <w:u w:val="single"/>
        </w:rPr>
        <w:t>{Unbefristete Laufzeit}</w:t>
      </w:r>
      <w:r>
        <w:rPr/>
        <w:t xml:space="preserve"> Die Vereinbarung ist auf unbestimmte Zeit geschlossen und kann von beiden Parteien mit einer Frist von [</w:t>
      </w:r>
      <w:r>
        <w:rPr>
          <w:i/>
        </w:rPr>
        <w:t>Kündigungsfrist eintragen, zB ein Monat</w:t>
      </w:r>
      <w:r>
        <w:rPr/>
        <w:t>] zum [</w:t>
      </w:r>
      <w:r>
        <w:rPr>
          <w:i/>
        </w:rPr>
        <w:t>Kündigungstermin eintragen, zB Kalenderviertaljahr</w:t>
      </w:r>
      <w:r>
        <w:rPr/>
        <w:t>] gekündigt werden. Die Möglichkeit zur außerordentlichen Kündigung aus wichtigem Grund bleibt unberührt.</w:t>
      </w:r>
    </w:p>
    <w:p>
      <w:pPr>
        <w:pStyle w:val="Berschrift3"/>
        <w:numPr>
          <w:ilvl w:val="2"/>
          <w:numId w:val="4"/>
        </w:numPr>
        <w:rPr/>
      </w:pPr>
      <w:bookmarkStart w:id="1287" w:name="__RefHeading___Toc12456_3966647769"/>
      <w:bookmarkStart w:id="1288" w:name="_Toc511051848"/>
      <w:bookmarkStart w:id="1289" w:name="_Toc501361241"/>
      <w:bookmarkStart w:id="1290" w:name="_Toc501369342"/>
      <w:bookmarkStart w:id="1291" w:name="_Toc501447686"/>
      <w:bookmarkStart w:id="1292" w:name="_Toc501469425"/>
      <w:bookmarkStart w:id="1293" w:name="_Toc501545442"/>
      <w:bookmarkStart w:id="1294" w:name="_Toc501715526"/>
      <w:bookmarkStart w:id="1295" w:name="_Toc503168949"/>
      <w:bookmarkStart w:id="1296" w:name="_Toc503285723"/>
      <w:bookmarkStart w:id="1297" w:name="_Toc503285958"/>
      <w:bookmarkStart w:id="1298" w:name="_Toc503780922"/>
      <w:bookmarkStart w:id="1299" w:name="_Toc503781242"/>
      <w:bookmarkStart w:id="1300" w:name="_Toc503862805"/>
      <w:bookmarkStart w:id="1301" w:name="_Toc503945467"/>
      <w:bookmarkStart w:id="1302" w:name="_Toc504155917"/>
      <w:bookmarkStart w:id="1303" w:name="_Toc504472831"/>
      <w:bookmarkStart w:id="1304" w:name="_Toc505068766"/>
      <w:bookmarkStart w:id="1305" w:name="_Toc505255119"/>
      <w:bookmarkStart w:id="1306" w:name="_Toc505585788"/>
      <w:bookmarkStart w:id="1307" w:name="_Toc505854391"/>
      <w:bookmarkStart w:id="1308" w:name="_Toc505870289"/>
      <w:bookmarkStart w:id="1309" w:name="_Toc506370627"/>
      <w:bookmarkStart w:id="1310" w:name="_Toc506978454"/>
      <w:bookmarkStart w:id="1311" w:name="_Toc507067698"/>
      <w:bookmarkStart w:id="1312" w:name="_Toc501128012"/>
      <w:bookmarkEnd w:id="1287"/>
      <w:r>
        <w:rPr/>
        <w:t>Pflichten des Auftragnehmers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Normal"/>
        <w:numPr>
          <w:ilvl w:val="0"/>
          <w:numId w:val="27"/>
        </w:numPr>
        <w:ind w:left="426" w:hanging="426"/>
        <w:rPr>
          <w:rFonts w:cs="Calibri"/>
        </w:rPr>
      </w:pPr>
      <w:r>
        <w:rPr>
          <w:rFonts w:cs="Calibri"/>
        </w:rPr>
        <w:t>Der Auftragnehmer verpflichtet sich, Daten und Verarbeitungsergebnisse ausschließlich im Rahmen der schriftlichen Aufträge des Auftraggebers zu verarbeiten. Erhält der Auftragnehmer einen behördlichen Auftrag, Daten des Auftraggebers herauszugeben, so hat er - sofern gesetzlich zulässig - den Auftraggeber unverzüglich darüber zu informieren und die Behörde an diesen zu verweisen. Desgleichen bedarf eine Verarbeitung der Daten für eigene Zwecke des Auftragnehmers eines schriftlichen Auftrages.</w:t>
      </w:r>
    </w:p>
    <w:p>
      <w:pPr>
        <w:pStyle w:val="Normal"/>
        <w:numPr>
          <w:ilvl w:val="0"/>
          <w:numId w:val="9"/>
        </w:numPr>
        <w:ind w:left="426" w:hanging="426"/>
        <w:rPr>
          <w:rFonts w:cs="Calibri"/>
        </w:rPr>
      </w:pPr>
      <w:r>
        <w:rPr>
          <w:rFonts w:cs="Calibri"/>
        </w:rPr>
        <w:t>Der Auftragnehmer erklärt rechtsverbindlich, dass er alle mit der Datenverarbeitung beauftragten Personen vor Aufnahme der Tätigkeit zur Vertraulichkeit verpflichtet hat oder diese einer angemessenen gesetzlichen Verschwiegenheitsverpflichtung unterliegen. Insbesondere bleibt die Verschwiegenheitsverpflichtung der mit der Datenverarbeitung beauftragten Personen auch nach Beendigung ihrer Tätigkeit und Ausscheiden beim Auftragnehmer aufrecht.</w:t>
      </w:r>
    </w:p>
    <w:p>
      <w:pPr>
        <w:pStyle w:val="Normal"/>
        <w:numPr>
          <w:ilvl w:val="0"/>
          <w:numId w:val="9"/>
        </w:numPr>
        <w:ind w:left="426" w:hanging="426"/>
        <w:rPr>
          <w:rFonts w:cs="Calibri"/>
        </w:rPr>
      </w:pPr>
      <w:r>
        <w:rPr>
          <w:rFonts w:cs="Calibri"/>
        </w:rPr>
        <w:t>Der Auftragnehmer erklärt rechtsverbindlich, dass er alle erforderlichen Maßnahmen zur Gewährleistung der Sicherheit der Verarbeitung nach Art 32 DSGVO ergriffen hat.</w:t>
      </w:r>
    </w:p>
    <w:p>
      <w:pPr>
        <w:pStyle w:val="Normal"/>
        <w:numPr>
          <w:ilvl w:val="0"/>
          <w:numId w:val="9"/>
        </w:numPr>
        <w:ind w:left="426" w:hanging="426"/>
        <w:rPr>
          <w:rFonts w:cs="Calibri"/>
        </w:rPr>
      </w:pPr>
      <w:r>
        <w:rPr>
          <w:rFonts w:cs="Calibri"/>
        </w:rPr>
        <w:t>Der Auftragnehmer ergreift die technischen und organisatorischen Maßnahmen, damit der Auftraggeber die Rechte der betroffenen Person nach Kapitel III der DSGVO (Information, Auskunft, Berichtigung und Löschung, Datenübertragbarkeit, Widerspruch, sowie automatisierte Entscheidungsfindung im Einzelfall) innerhalb der gesetzlichen Fristen jederzeit erfüllen kann und überlässt dem Auftraggeber alle dafür notwendigen Informationen. Wird ein entsprechender Antrag an den Auftragnehmer gerichtet und lässt dieser erkennen, dass der Antragsteller ihn irrtümlich für den Auftraggeber der von ihm betriebenen Datenanwendung hält, hat der Auftragnehmer den Antrag unverzüglich an den Auftraggeber weiterzuleiten und dies dem Antragsteller mitzuteilen.</w:t>
      </w:r>
    </w:p>
    <w:p>
      <w:pPr>
        <w:pStyle w:val="Normal"/>
        <w:numPr>
          <w:ilvl w:val="0"/>
          <w:numId w:val="9"/>
        </w:numPr>
        <w:ind w:left="426" w:hanging="426"/>
        <w:rPr>
          <w:rFonts w:cs="Calibri"/>
        </w:rPr>
      </w:pPr>
      <w:r>
        <w:rPr>
          <w:rFonts w:cs="Calibri"/>
        </w:rPr>
        <w:t>Der Auftragnehmer unterstützt den Auftraggeber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pPr>
        <w:pStyle w:val="Normal"/>
        <w:numPr>
          <w:ilvl w:val="0"/>
          <w:numId w:val="9"/>
        </w:numPr>
        <w:ind w:left="426" w:hanging="426"/>
        <w:rPr>
          <w:rFonts w:cs="Calibri"/>
        </w:rPr>
      </w:pPr>
      <w:r>
        <w:rPr>
          <w:rFonts w:cs="Calibri"/>
        </w:rPr>
        <w:t>Der Auftragnehmer wird darauf hingewiesen, dass er für die vorliegende Auftragsverarbeitung ein Verarbeitungsverzeichnis nach Art 30 DSGVO zu errichten hat.</w:t>
      </w:r>
    </w:p>
    <w:p>
      <w:pPr>
        <w:pStyle w:val="Normal"/>
        <w:numPr>
          <w:ilvl w:val="0"/>
          <w:numId w:val="9"/>
        </w:numPr>
        <w:ind w:left="426" w:hanging="426"/>
        <w:rPr>
          <w:rFonts w:cs="Calibri"/>
        </w:rPr>
      </w:pPr>
      <w:r>
        <w:rPr>
          <w:rFonts w:cs="Calibri"/>
        </w:rPr>
        <w:t>Dem Auftraggeber wird hinsichtlich der Verarbeitung der von ihm überlassenen Daten das Recht jederzeitiger Einsichtnahme und Kontrolle, sei es auch durch ihn beauftragte Dritte, der Datenverarbeitungseinrichtungen eingeräumt. Der Auftragnehmer verpflichtet sich, dem Auftraggeber jene Informationen zur Verfügung zu stellen, die zur Kontrolle der Einhaltung der in dieser Vereinbarung genannten Verpflichtungen notwendig sind.</w:t>
      </w:r>
    </w:p>
    <w:p>
      <w:pPr>
        <w:pStyle w:val="Normal"/>
        <w:numPr>
          <w:ilvl w:val="0"/>
          <w:numId w:val="9"/>
        </w:numPr>
        <w:ind w:left="426" w:hanging="426"/>
        <w:rPr>
          <w:rFonts w:cs="Calibri"/>
        </w:rPr>
      </w:pPr>
      <w:r>
        <w:rPr>
          <w:rFonts w:cs="Calibri"/>
        </w:rPr>
        <w:t>Der Auftragnehmer ist nach Beendigung dieser Vereinbarung verpflichtet, alle Verarbeitungsergebnisse und Unterlagen, die Daten enthalten, dem Auftraggeber zu übergeben / in dessen Auftrag zu vernichten.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pPr>
        <w:pStyle w:val="Normal"/>
        <w:numPr>
          <w:ilvl w:val="0"/>
          <w:numId w:val="9"/>
        </w:numPr>
        <w:ind w:left="426" w:hanging="360"/>
        <w:rPr/>
      </w:pPr>
      <w:r>
        <w:rPr>
          <w:rFonts w:cs="Calibri"/>
        </w:rPr>
        <w:t>Der Auftragnehmer hat den Auftraggeber unverzüglich zu informieren, falls er der Ansicht ist, eine Weisung des Auftraggebers verstößt gegen Datenschutzbestimmungen der Union oder der Mitgliedstaaten.</w:t>
      </w:r>
    </w:p>
    <w:p>
      <w:pPr>
        <w:pStyle w:val="Berschrift3"/>
        <w:numPr>
          <w:ilvl w:val="2"/>
          <w:numId w:val="4"/>
        </w:numPr>
        <w:rPr/>
      </w:pPr>
      <w:r>
        <w:rPr/>
        <w:t>Ort der Durchführung der Datenverarbeitung</w:t>
      </w:r>
    </w:p>
    <w:p>
      <w:pPr>
        <w:pStyle w:val="Normal"/>
        <w:rPr/>
      </w:pPr>
      <w:r>
        <w:rPr>
          <w:rFonts w:cs="Calibri"/>
          <w:b/>
          <w:sz w:val="28"/>
          <w:u w:val="single"/>
        </w:rPr>
        <w:t xml:space="preserve">X </w:t>
      </w:r>
      <w:r>
        <w:rPr>
          <w:rFonts w:cs="Calibri"/>
        </w:rPr>
        <w:t>Alle Datenverarbeitungstätigkeiten werden ausschließlich innerhalb der EU bzw. des EWR durchgeführt.</w:t>
      </w:r>
    </w:p>
    <w:p>
      <w:pPr>
        <w:pStyle w:val="Berschrift3"/>
        <w:numPr>
          <w:ilvl w:val="2"/>
          <w:numId w:val="4"/>
        </w:numPr>
        <w:rPr/>
      </w:pPr>
      <w:bookmarkStart w:id="1313" w:name="__RefHeading___Toc12460_3966647769"/>
      <w:bookmarkStart w:id="1314" w:name="_Toc511051850"/>
      <w:bookmarkStart w:id="1315" w:name="_Toc501128014"/>
      <w:bookmarkStart w:id="1316" w:name="_Toc507067700"/>
      <w:bookmarkStart w:id="1317" w:name="_Toc506978456"/>
      <w:bookmarkStart w:id="1318" w:name="_Toc506370629"/>
      <w:bookmarkStart w:id="1319" w:name="_Toc505870291"/>
      <w:bookmarkStart w:id="1320" w:name="_Toc505854393"/>
      <w:bookmarkStart w:id="1321" w:name="_Toc505585790"/>
      <w:bookmarkStart w:id="1322" w:name="_Toc505255121"/>
      <w:bookmarkStart w:id="1323" w:name="_Toc505068768"/>
      <w:bookmarkStart w:id="1324" w:name="_Toc504472833"/>
      <w:bookmarkStart w:id="1325" w:name="_Toc504155919"/>
      <w:bookmarkStart w:id="1326" w:name="_Toc503945469"/>
      <w:bookmarkStart w:id="1327" w:name="_Toc503862807"/>
      <w:bookmarkStart w:id="1328" w:name="_Toc503781244"/>
      <w:bookmarkStart w:id="1329" w:name="_Toc503780924"/>
      <w:bookmarkStart w:id="1330" w:name="_Toc503285960"/>
      <w:bookmarkStart w:id="1331" w:name="_Toc503285725"/>
      <w:bookmarkStart w:id="1332" w:name="_Toc503168951"/>
      <w:bookmarkStart w:id="1333" w:name="_Toc501715528"/>
      <w:bookmarkStart w:id="1334" w:name="_Toc501545444"/>
      <w:bookmarkStart w:id="1335" w:name="_Toc501469427"/>
      <w:bookmarkStart w:id="1336" w:name="_Toc501447688"/>
      <w:bookmarkStart w:id="1337" w:name="_Toc501369344"/>
      <w:bookmarkStart w:id="1338" w:name="_Toc501361243"/>
      <w:bookmarkEnd w:id="1313"/>
      <w:r>
        <w:rPr/>
        <w:t>Sub-Auftragsverarbeiter</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Normal"/>
        <w:rPr/>
      </w:pPr>
      <w:r>
        <w:rPr>
          <w:rFonts w:cs="Calibri"/>
          <w:b/>
          <w:sz w:val="28"/>
          <w:u w:val="single"/>
        </w:rPr>
        <w:t xml:space="preserve">X  </w:t>
      </w:r>
      <w:r>
        <w:rPr>
          <w:rFonts w:cs="Calibri"/>
        </w:rPr>
        <w:t>Der Auftragnehmer ist nicht berechtigt, einen Sub-Auftragsverarbeiter heranzuziehen.</w:t>
      </w:r>
    </w:p>
    <w:tbl>
      <w:tblPr>
        <w:tblW w:w="10020" w:type="dxa"/>
        <w:jc w:val="center"/>
        <w:tblInd w:w="0" w:type="dxa"/>
        <w:tblBorders/>
        <w:tblCellMar>
          <w:top w:w="0" w:type="dxa"/>
          <w:left w:w="70" w:type="dxa"/>
          <w:bottom w:w="0" w:type="dxa"/>
          <w:right w:w="70" w:type="dxa"/>
        </w:tblCellMar>
        <w:tblLook w:firstRow="0" w:noVBand="0" w:lastRow="0" w:firstColumn="0" w:lastColumn="0" w:noHBand="0" w:val="0000"/>
      </w:tblPr>
      <w:tblGrid>
        <w:gridCol w:w="4441"/>
        <w:gridCol w:w="727"/>
        <w:gridCol w:w="4852"/>
      </w:tblGrid>
      <w:tr>
        <w:trPr>
          <w:trHeight w:val="585" w:hRule="atLeast"/>
        </w:trPr>
        <w:tc>
          <w:tcPr>
            <w:tcW w:w="4441" w:type="dxa"/>
            <w:tcBorders/>
            <w:shd w:fill="auto" w:val="clear"/>
          </w:tcPr>
          <w:p>
            <w:pPr>
              <w:pStyle w:val="Normal"/>
              <w:widowControl/>
              <w:bidi w:val="0"/>
              <w:spacing w:before="0" w:after="160"/>
              <w:jc w:val="left"/>
              <w:textAlignment w:val="baseline"/>
              <w:rPr/>
            </w:pPr>
            <w:r>
              <w:rPr>
                <w:rFonts w:cs="Calibri"/>
              </w:rPr>
              <w:t>Wien am [</w:t>
            </w:r>
            <w:r>
              <w:rPr>
                <w:rFonts w:cs="Calibri"/>
                <w:i/>
              </w:rPr>
              <w:t>Datum</w:t>
            </w:r>
            <w:r>
              <w:rPr>
                <w:rFonts w:cs="Calibri"/>
              </w:rPr>
              <w:t>]</w:t>
            </w:r>
          </w:p>
        </w:tc>
        <w:tc>
          <w:tcPr>
            <w:tcW w:w="727" w:type="dxa"/>
            <w:tcBorders/>
            <w:shd w:fill="auto" w:val="clear"/>
          </w:tcPr>
          <w:p>
            <w:pPr>
              <w:pStyle w:val="Normal"/>
              <w:spacing w:before="0" w:after="160"/>
              <w:rPr>
                <w:rFonts w:cs="Calibri"/>
              </w:rPr>
            </w:pPr>
            <w:r>
              <w:rPr>
                <w:rFonts w:cs="Calibri"/>
              </w:rPr>
            </w:r>
          </w:p>
        </w:tc>
        <w:tc>
          <w:tcPr>
            <w:tcW w:w="4852" w:type="dxa"/>
            <w:tcBorders/>
            <w:shd w:fill="auto" w:val="clear"/>
          </w:tcPr>
          <w:p>
            <w:pPr>
              <w:pStyle w:val="Normal"/>
              <w:widowControl/>
              <w:bidi w:val="0"/>
              <w:spacing w:before="0" w:after="160"/>
              <w:jc w:val="left"/>
              <w:textAlignment w:val="baseline"/>
              <w:rPr/>
            </w:pPr>
            <w:r>
              <w:rPr>
                <w:rFonts w:cs="Calibri"/>
              </w:rPr>
              <w:t>[</w:t>
            </w:r>
            <w:r>
              <w:rPr>
                <w:rFonts w:cs="Calibri"/>
                <w:i/>
              </w:rPr>
              <w:t>Ort</w:t>
            </w:r>
            <w:r>
              <w:rPr>
                <w:rFonts w:cs="Calibri"/>
              </w:rPr>
              <w:t>], am [</w:t>
            </w:r>
            <w:r>
              <w:rPr>
                <w:rFonts w:cs="Calibri"/>
                <w:i/>
              </w:rPr>
              <w:t>Datum</w:t>
            </w:r>
            <w:r>
              <w:rPr>
                <w:rFonts w:cs="Calibri"/>
              </w:rPr>
              <w:t>]</w:t>
            </w:r>
          </w:p>
        </w:tc>
      </w:tr>
      <w:tr>
        <w:trPr>
          <w:trHeight w:val="435" w:hRule="atLeast"/>
        </w:trPr>
        <w:tc>
          <w:tcPr>
            <w:tcW w:w="4441" w:type="dxa"/>
            <w:tcBorders/>
            <w:shd w:fill="auto" w:val="clear"/>
          </w:tcPr>
          <w:p>
            <w:pPr>
              <w:pStyle w:val="Normal"/>
              <w:widowControl/>
              <w:bidi w:val="0"/>
              <w:spacing w:before="0" w:after="160"/>
              <w:jc w:val="left"/>
              <w:textAlignment w:val="baseline"/>
              <w:rPr>
                <w:rFonts w:cs="Calibri"/>
                <w:i/>
                <w:i/>
              </w:rPr>
            </w:pPr>
            <w:r>
              <w:rPr>
                <w:rFonts w:cs="Calibri"/>
                <w:i/>
              </w:rPr>
              <w:t>Für den Auftraggeber:</w:t>
            </w:r>
          </w:p>
        </w:tc>
        <w:tc>
          <w:tcPr>
            <w:tcW w:w="727" w:type="dxa"/>
            <w:tcBorders/>
            <w:shd w:fill="auto" w:val="clear"/>
          </w:tcPr>
          <w:p>
            <w:pPr>
              <w:pStyle w:val="Normal"/>
              <w:spacing w:before="0" w:after="160"/>
              <w:rPr>
                <w:rFonts w:cs="Calibri"/>
                <w:i/>
                <w:i/>
              </w:rPr>
            </w:pPr>
            <w:r>
              <w:rPr>
                <w:rFonts w:cs="Calibri"/>
                <w:i/>
              </w:rPr>
            </w:r>
          </w:p>
        </w:tc>
        <w:tc>
          <w:tcPr>
            <w:tcW w:w="4852" w:type="dxa"/>
            <w:tcBorders/>
            <w:shd w:fill="auto" w:val="clear"/>
          </w:tcPr>
          <w:p>
            <w:pPr>
              <w:pStyle w:val="Normal"/>
              <w:widowControl/>
              <w:bidi w:val="0"/>
              <w:spacing w:before="0" w:after="160"/>
              <w:jc w:val="left"/>
              <w:textAlignment w:val="baseline"/>
              <w:rPr>
                <w:rFonts w:cs="Calibri"/>
                <w:i/>
                <w:i/>
              </w:rPr>
            </w:pPr>
            <w:r>
              <w:rPr>
                <w:rFonts w:cs="Calibri"/>
                <w:i/>
              </w:rPr>
              <w:t>Für den Auftragnehmer:</w:t>
            </w:r>
          </w:p>
        </w:tc>
      </w:tr>
      <w:tr>
        <w:trPr>
          <w:trHeight w:val="83" w:hRule="atLeast"/>
        </w:trPr>
        <w:tc>
          <w:tcPr>
            <w:tcW w:w="4441" w:type="dxa"/>
            <w:tcBorders/>
            <w:shd w:fill="auto" w:val="clear"/>
          </w:tcPr>
          <w:p>
            <w:pPr>
              <w:pStyle w:val="Normal"/>
              <w:rPr>
                <w:rFonts w:cs="Calibri"/>
              </w:rPr>
            </w:pPr>
            <w:r>
              <w:rPr>
                <w:rFonts w:cs="Calibri"/>
              </w:rPr>
            </w:r>
          </w:p>
          <w:p>
            <w:pPr>
              <w:pStyle w:val="Normal"/>
              <w:jc w:val="center"/>
              <w:rPr/>
            </w:pPr>
            <w:r>
              <w:rPr>
                <w:rFonts w:cs="Calibri"/>
              </w:rPr>
              <w:t>...................................................</w:t>
            </w:r>
          </w:p>
          <w:p>
            <w:pPr>
              <w:pStyle w:val="Normal"/>
              <w:spacing w:before="0" w:after="160"/>
              <w:jc w:val="center"/>
              <w:rPr>
                <w:rFonts w:cs="Calibri"/>
                <w:b/>
                <w:b/>
              </w:rPr>
            </w:pPr>
            <w:r>
              <w:rPr>
                <w:rFonts w:cs="Calibri"/>
                <w:i/>
                <w:iCs/>
                <w:color w:val="2B511A"/>
              </w:rPr>
              <w:t>Titel / Name</w:t>
            </w:r>
          </w:p>
        </w:tc>
        <w:tc>
          <w:tcPr>
            <w:tcW w:w="727" w:type="dxa"/>
            <w:tcBorders/>
            <w:shd w:fill="auto" w:val="clear"/>
          </w:tcPr>
          <w:p>
            <w:pPr>
              <w:pStyle w:val="Normal"/>
              <w:spacing w:before="0" w:after="160"/>
              <w:rPr>
                <w:rFonts w:cs="Calibri"/>
              </w:rPr>
            </w:pPr>
            <w:r>
              <w:rPr>
                <w:rFonts w:cs="Calibri"/>
              </w:rPr>
            </w:r>
          </w:p>
        </w:tc>
        <w:tc>
          <w:tcPr>
            <w:tcW w:w="4852" w:type="dxa"/>
            <w:tcBorders/>
            <w:shd w:fill="auto" w:val="clear"/>
          </w:tcPr>
          <w:p>
            <w:pPr>
              <w:pStyle w:val="Normal"/>
              <w:rPr>
                <w:rFonts w:cs="Calibri"/>
              </w:rPr>
            </w:pPr>
            <w:r>
              <w:rPr>
                <w:rFonts w:cs="Calibri"/>
              </w:rPr>
              <w:t>.</w:t>
            </w:r>
          </w:p>
          <w:p>
            <w:pPr>
              <w:pStyle w:val="Normal"/>
              <w:jc w:val="center"/>
              <w:rPr/>
            </w:pPr>
            <w:r>
              <w:rPr>
                <w:rFonts w:cs="Calibri"/>
              </w:rPr>
              <w:t>...................................................</w:t>
            </w:r>
          </w:p>
          <w:p>
            <w:pPr>
              <w:pStyle w:val="Normal"/>
              <w:spacing w:before="0" w:after="160"/>
              <w:jc w:val="center"/>
              <w:rPr/>
            </w:pPr>
            <w:r>
              <w:rPr>
                <w:rFonts w:cs="Calibri"/>
              </w:rPr>
              <w:t>[</w:t>
            </w:r>
            <w:r>
              <w:rPr>
                <w:rFonts w:cs="Calibri"/>
                <w:i/>
              </w:rPr>
              <w:t>Name samt Funktion</w:t>
            </w:r>
            <w:r>
              <w:rPr>
                <w:rFonts w:cs="Calibri"/>
              </w:rPr>
              <w:t>]</w:t>
            </w:r>
          </w:p>
        </w:tc>
      </w:tr>
    </w:tbl>
    <w:p>
      <w:pPr>
        <w:pStyle w:val="Normal"/>
        <w:rPr>
          <w:b/>
          <w:b/>
          <w:bCs/>
          <w:color w:val="ED1C24"/>
          <w:highlight w:val="yellow"/>
        </w:rPr>
      </w:pPr>
      <w:r>
        <w:rPr>
          <w:b/>
          <w:bCs/>
          <w:color w:val="ED1C24"/>
          <w:highlight w:val="yellow"/>
        </w:rPr>
      </w:r>
    </w:p>
    <w:p>
      <w:pPr>
        <w:pStyle w:val="Normal"/>
        <w:rPr>
          <w:b/>
          <w:b/>
          <w:bCs/>
          <w:color w:val="ED1C24"/>
          <w:highlight w:val="yellow"/>
        </w:rPr>
      </w:pPr>
      <w:r>
        <w:rPr>
          <w:b/>
          <w:bCs/>
          <w:color w:val="ED1C24"/>
          <w:highlight w:val="yellow"/>
        </w:rPr>
      </w:r>
    </w:p>
    <w:p>
      <w:pPr>
        <w:pStyle w:val="Berschrift2"/>
        <w:numPr>
          <w:ilvl w:val="1"/>
          <w:numId w:val="4"/>
        </w:numPr>
        <w:rPr/>
      </w:pPr>
      <w:bookmarkStart w:id="1339" w:name="__RefHeading___Toc31903_1491107819"/>
      <w:bookmarkStart w:id="1340" w:name="_Toc517698087"/>
      <w:bookmarkEnd w:id="1339"/>
      <w:r>
        <w:rPr/>
        <w:t>Vorlage: Fernwartung und Pflege von IT-Systemen &amp; Datenschutz</w:t>
      </w:r>
      <w:bookmarkEnd w:id="1340"/>
    </w:p>
    <w:p>
      <w:pPr>
        <w:pStyle w:val="Textkrper"/>
        <w:rPr/>
      </w:pPr>
      <w:r>
        <w:rPr/>
        <w:t>Bei der (Fern-) Wartung und Pflege von IT-Systemen ist auch das Thema Datenschutz zu berücksichtigen. Hintergrund hierfür ist, dass auch bei der Wartung oder Pflege von IT-Systemen eine „Verarbeitung“ von personenbezogenen Daten im Auftrag vorliegen kann.</w:t>
      </w:r>
    </w:p>
    <w:p>
      <w:pPr>
        <w:pStyle w:val="Textkrper"/>
        <w:rPr/>
      </w:pPr>
      <w:r>
        <w:rPr/>
        <w:t xml:space="preserve">Und dazu stelle RA  </w:t>
      </w:r>
      <w:r>
        <w:rPr>
          <w:rStyle w:val="Starkbetont"/>
        </w:rPr>
        <w:t>Stephan Hansen-Oest</w:t>
      </w:r>
      <w:r>
        <w:rPr/>
        <w:t xml:space="preserve"> kostenfrei nachfolgendes Muster </w:t>
      </w:r>
      <w:r>
        <w:rPr>
          <w:rStyle w:val="Starkbetont"/>
        </w:rPr>
        <w:t xml:space="preserve">auf Basis der DSGVO </w:t>
      </w:r>
      <w:r>
        <w:rPr/>
        <w:t xml:space="preserve">zur Verfügung. Das Muster ist so gestaltet, dass es eine gute Ausgangsgrundlage für gängige Fälle von Wartungen von IT-Systemen sein sollte. </w:t>
      </w:r>
    </w:p>
    <w:p>
      <w:pPr>
        <w:pStyle w:val="Textkrper"/>
        <w:rPr/>
      </w:pPr>
      <w:r>
        <w:rPr/>
        <w:t xml:space="preserve">Das bedeutet natürlich für den Auftraggeber,  nicht, dass man den Auftragnehmer nicht sorgfältig vor der Beauftragung prüfen sollte. RA  </w:t>
      </w:r>
      <w:r>
        <w:rPr>
          <w:rStyle w:val="Starkbetont"/>
        </w:rPr>
        <w:t>Stephan Hansen-Oest</w:t>
      </w:r>
      <w:r>
        <w:rPr/>
        <w:t xml:space="preserve">  kann gerade im Bereich der IT-Dienstleister nur empfehlen, mal genauer hinzuschauen, wie der Dienstleister im Bereich der Datensicherheit so aufgestellt ist. Schließlich erhält der Dienstleister ggf. Zugangsdaten zu IT-Systemen des Auftraggebers. Und diese sind besonders gesichert zu verwahren.</w:t>
      </w:r>
    </w:p>
    <w:p>
      <w:pPr>
        <w:pStyle w:val="Textkrper"/>
        <w:jc w:val="center"/>
        <w:rPr/>
      </w:pPr>
      <w:hyperlink r:id="rId11">
        <w:r>
          <w:rPr>
            <w:rStyle w:val="Internetverknpfung"/>
            <w:b/>
            <w:bCs/>
            <w:i/>
            <w:sz w:val="28"/>
            <w:szCs w:val="28"/>
          </w:rPr>
          <w:t>https://www.datenschutz-guru.de/wartungsvertrag/</w:t>
        </w:r>
      </w:hyperlink>
      <w:r>
        <w:rPr>
          <w:b/>
          <w:bCs/>
          <w:i/>
          <w:sz w:val="28"/>
          <w:szCs w:val="28"/>
        </w:rPr>
        <w:t xml:space="preserve"> </w:t>
      </w:r>
    </w:p>
    <w:p>
      <w:pPr>
        <w:pStyle w:val="Normal"/>
        <w:rPr>
          <w:i/>
          <w:i/>
        </w:rPr>
      </w:pPr>
      <w:r>
        <w:rPr>
          <w:i/>
        </w:rPr>
      </w:r>
    </w:p>
    <w:p>
      <w:pPr>
        <w:pStyle w:val="Normal"/>
        <w:rPr>
          <w:rFonts w:ascii="sans-serif" w:hAnsi="sans-serif"/>
        </w:rPr>
      </w:pPr>
      <w:r>
        <w:rPr>
          <w:rFonts w:ascii="sans-serif" w:hAnsi="sans-serif"/>
        </w:rPr>
      </w:r>
    </w:p>
    <w:p>
      <w:pPr>
        <w:pStyle w:val="Normal"/>
        <w:rPr/>
      </w:pPr>
      <w:r>
        <w:rPr/>
      </w:r>
      <w:bookmarkStart w:id="1341" w:name="_Toc511051851"/>
      <w:bookmarkStart w:id="1342" w:name="_Toc511051851"/>
      <w:bookmarkEnd w:id="1342"/>
      <w:r>
        <w:br w:type="page"/>
      </w:r>
    </w:p>
    <w:p>
      <w:pPr>
        <w:pStyle w:val="Berschrift2"/>
        <w:numPr>
          <w:ilvl w:val="1"/>
          <w:numId w:val="4"/>
        </w:numPr>
        <w:rPr/>
      </w:pPr>
      <w:bookmarkStart w:id="1343" w:name="__RefHeading___Toc31905_1491107819"/>
      <w:bookmarkStart w:id="1344" w:name="_Toc517698088"/>
      <w:bookmarkEnd w:id="1343"/>
      <w:r>
        <w:rPr/>
        <w:t>Zusatz Verzeichnis: Kundenbetreuung und Kommunikation</w:t>
      </w:r>
      <w:bookmarkEnd w:id="1344"/>
    </w:p>
    <w:p>
      <w:pPr>
        <w:pStyle w:val="Normal"/>
        <w:rPr>
          <w:highlight w:val="yellow"/>
        </w:rPr>
      </w:pPr>
      <w:r>
        <w:rPr>
          <w:highlight w:val="yellow"/>
        </w:rPr>
        <w:t>Diese Verzeichnis bitte nur in Ihr Datenschutzkonzept aufnehmen, wenn Sie Newsletter versenden wollen!</w:t>
      </w:r>
    </w:p>
    <w:p>
      <w:pPr>
        <w:pStyle w:val="Textkrper"/>
        <w:rPr/>
      </w:pPr>
      <w:r>
        <w:rPr>
          <w:rStyle w:val="Starkbetont"/>
        </w:rPr>
        <w:t>Verantwortliche(r)</w:t>
      </w:r>
    </w:p>
    <w:p>
      <w:pPr>
        <w:pStyle w:val="Textkrper"/>
        <w:rPr/>
      </w:pPr>
      <w:r>
        <w:rPr/>
        <w:t>Name</w:t>
        <w:br/>
        <w:t>Adresse</w:t>
        <w:br/>
        <w:t>Email</w:t>
        <w:br/>
        <w:t>Tel:</w:t>
        <w:br/>
      </w:r>
      <w:r>
        <w:rPr>
          <w:rStyle w:val="Starkbetont"/>
        </w:rPr>
        <w:t>Zweck</w:t>
      </w:r>
      <w:r>
        <w:rPr/>
        <w:br/>
        <w:t>Als Psychotherapeut/in unter der Verpflichtung, bei Werbung und Ankündigungen in der Öffentlichkeit fachlichen Gesichtspunkten strikt den Vorrang vor kommerziellen Gesichtspunkten einzuräumen, ist der Zweck der Werbung oder Ankündigungen zB per Newsletter auf das sachlich Gebotene beschränkt. Daher beinhalten meine Newsletter und Ankündigungen nur ausreichende Information über Art und Umfang der angebotenen Leistungen (Supervision, Coaching, Teamberatung,  Workshops, Seminare, Fort- und Weiterbildung, … ;sowie Veranstaltungen, für die die Teilnehmer Fort-/Weiterbildungs-Bestätigungen bekommen) sowie über die geforderten Entgelte und die Rechte der Klienten bzw Aus-/Fortzubildenden und dies nur insoweit ich als Psychotherapeut/in die dafür notwendige (Zusatz) Qualifikation und Kompetenz erworben habe.</w:t>
      </w:r>
    </w:p>
    <w:p>
      <w:pPr>
        <w:pStyle w:val="Textkrper"/>
        <w:rPr/>
      </w:pPr>
      <w:r>
        <w:rPr/>
        <w:t>Ausdrücklich enthalten meine Newsletter zB keine Werbung für gewerbliche Produkte wie zB Bücher, Videos, DVDs, … und gewerbliche Dienstleistungen oder gewerbliche Veranstaltungen und sind von der Anzahl der Aussendungen auf das aller Notwendigste begrenzt.</w:t>
      </w:r>
    </w:p>
    <w:p>
      <w:pPr>
        <w:pStyle w:val="Textkrper"/>
        <w:rPr/>
      </w:pPr>
      <w:r>
        <w:rPr/>
        <w:t>Die kommerziellen Informationen können über Ihren Verband/Verein kommuniziert werden.</w:t>
        <w:br/>
      </w:r>
      <w:r>
        <w:rPr>
          <w:rStyle w:val="Starkbetont"/>
        </w:rPr>
        <w:t>Kategorien der betroffenen Personen</w:t>
      </w:r>
    </w:p>
    <w:tbl>
      <w:tblPr>
        <w:tblW w:w="7368" w:type="dxa"/>
        <w:jc w:val="left"/>
        <w:tblInd w:w="0" w:type="dxa"/>
        <w:tblBorders/>
        <w:tblCellMar>
          <w:top w:w="28" w:type="dxa"/>
          <w:left w:w="28" w:type="dxa"/>
          <w:bottom w:w="28" w:type="dxa"/>
          <w:right w:w="28" w:type="dxa"/>
        </w:tblCellMar>
        <w:tblLook w:firstRow="1" w:noVBand="1" w:lastRow="0" w:firstColumn="1" w:lastColumn="0" w:noHBand="0" w:val="04a0"/>
      </w:tblPr>
      <w:tblGrid>
        <w:gridCol w:w="1063"/>
        <w:gridCol w:w="6304"/>
      </w:tblGrid>
      <w:tr>
        <w:trPr/>
        <w:tc>
          <w:tcPr>
            <w:tcW w:w="1063" w:type="dxa"/>
            <w:tcBorders/>
            <w:shd w:fill="auto" w:val="clear"/>
            <w:vAlign w:val="center"/>
          </w:tcPr>
          <w:p>
            <w:pPr>
              <w:pStyle w:val="Tabelleninhalt"/>
              <w:suppressLineNumbers/>
              <w:spacing w:before="0" w:after="160"/>
              <w:rPr/>
            </w:pPr>
            <w:r>
              <w:rPr>
                <w:rStyle w:val="Starkbetont"/>
              </w:rPr>
              <w:t>Lfd. Nr.</w:t>
            </w:r>
          </w:p>
        </w:tc>
        <w:tc>
          <w:tcPr>
            <w:tcW w:w="6304" w:type="dxa"/>
            <w:tcBorders/>
            <w:shd w:fill="auto" w:val="clear"/>
            <w:vAlign w:val="center"/>
          </w:tcPr>
          <w:p>
            <w:pPr>
              <w:pStyle w:val="Tabelleninhalt"/>
              <w:suppressLineNumbers/>
              <w:spacing w:before="0" w:after="160"/>
              <w:rPr/>
            </w:pPr>
            <w:r>
              <w:rPr>
                <w:rStyle w:val="Starkbetont"/>
              </w:rPr>
              <w:t>Beschreibung der Kategorien betroffener Personen</w:t>
            </w:r>
          </w:p>
        </w:tc>
      </w:tr>
      <w:tr>
        <w:trPr/>
        <w:tc>
          <w:tcPr>
            <w:tcW w:w="1063" w:type="dxa"/>
            <w:tcBorders/>
            <w:shd w:fill="auto" w:val="clear"/>
            <w:vAlign w:val="center"/>
          </w:tcPr>
          <w:p>
            <w:pPr>
              <w:pStyle w:val="Tabelleninhalt"/>
              <w:suppressLineNumbers/>
              <w:spacing w:before="0" w:after="160"/>
              <w:rPr/>
            </w:pPr>
            <w:r>
              <w:rPr/>
              <w:t>1</w:t>
            </w:r>
          </w:p>
        </w:tc>
        <w:tc>
          <w:tcPr>
            <w:tcW w:w="6304" w:type="dxa"/>
            <w:tcBorders/>
            <w:shd w:fill="auto" w:val="clear"/>
            <w:vAlign w:val="center"/>
          </w:tcPr>
          <w:p>
            <w:pPr>
              <w:pStyle w:val="Tabelleninhalt"/>
              <w:suppressLineNumbers/>
              <w:spacing w:before="0" w:after="160"/>
              <w:rPr/>
            </w:pPr>
            <w:r>
              <w:rPr/>
              <w:t>Klienten, Aus-/Fortzubildende und Interessenten</w:t>
            </w:r>
          </w:p>
        </w:tc>
      </w:tr>
      <w:tr>
        <w:trPr/>
        <w:tc>
          <w:tcPr>
            <w:tcW w:w="1063" w:type="dxa"/>
            <w:tcBorders/>
            <w:shd w:fill="auto" w:val="clear"/>
            <w:vAlign w:val="center"/>
          </w:tcPr>
          <w:p>
            <w:pPr>
              <w:pStyle w:val="Tabelleninhalt"/>
              <w:suppressLineNumbers/>
              <w:spacing w:before="0" w:after="160"/>
              <w:rPr/>
            </w:pPr>
            <w:r>
              <w:rPr/>
              <w:t>2</w:t>
            </w:r>
          </w:p>
        </w:tc>
        <w:tc>
          <w:tcPr>
            <w:tcW w:w="6304" w:type="dxa"/>
            <w:tcBorders/>
            <w:shd w:fill="auto" w:val="clear"/>
            <w:vAlign w:val="center"/>
          </w:tcPr>
          <w:p>
            <w:pPr>
              <w:pStyle w:val="Tabelleninhalt"/>
              <w:suppressLineNumbers/>
              <w:spacing w:before="0" w:after="160"/>
              <w:rPr/>
            </w:pPr>
            <w:r>
              <w:rPr/>
              <w:t>Kontaktpersonen beim Klienten, Aus-/Fortzubildenen und Interessierten</w:t>
            </w:r>
          </w:p>
        </w:tc>
      </w:tr>
    </w:tbl>
    <w:p>
      <w:pPr>
        <w:pStyle w:val="Textkrper"/>
        <w:rPr/>
      </w:pPr>
      <w:r>
        <w:rPr>
          <w:rStyle w:val="Starkbetont"/>
        </w:rPr>
        <w:t>Rechtsgrundlagen</w:t>
      </w:r>
    </w:p>
    <w:p>
      <w:pPr>
        <w:pStyle w:val="Textkrper"/>
        <w:numPr>
          <w:ilvl w:val="0"/>
          <w:numId w:val="33"/>
        </w:numPr>
        <w:tabs>
          <w:tab w:val="left" w:pos="0" w:leader="none"/>
        </w:tabs>
        <w:spacing w:before="0" w:after="0"/>
        <w:rPr/>
      </w:pPr>
      <w:r>
        <w:rPr/>
        <w:t xml:space="preserve">Newsletter + Fotos: Art 6 Z 1 lit a (Einwilligung der Betroffenen) </w:t>
      </w:r>
    </w:p>
    <w:p>
      <w:pPr>
        <w:pStyle w:val="Textkrper"/>
        <w:numPr>
          <w:ilvl w:val="0"/>
          <w:numId w:val="33"/>
        </w:numPr>
        <w:tabs>
          <w:tab w:val="left" w:pos="0" w:leader="none"/>
        </w:tabs>
        <w:spacing w:before="0" w:after="0"/>
        <w:rPr/>
      </w:pPr>
      <w:r>
        <w:rPr/>
        <w:t xml:space="preserve">Ansonsten: Art: 6 Z 1 lit b (zur Vertragserfüllung erforderlich), c (gesetzliche Verpflichtungen nach der BAO und dem UGB), f (berechtigte Interessen des Verantwortlichen) </w:t>
      </w:r>
    </w:p>
    <w:p>
      <w:pPr>
        <w:pStyle w:val="Textkrper"/>
        <w:numPr>
          <w:ilvl w:val="0"/>
          <w:numId w:val="33"/>
        </w:numPr>
        <w:tabs>
          <w:tab w:val="left" w:pos="0" w:leader="none"/>
        </w:tabs>
        <w:spacing w:before="0" w:after="0"/>
        <w:rPr/>
      </w:pPr>
      <w:r>
        <w:rPr/>
        <w:t xml:space="preserve">151 GewO 1994 </w:t>
      </w:r>
    </w:p>
    <w:p>
      <w:pPr>
        <w:pStyle w:val="Textkrper"/>
        <w:numPr>
          <w:ilvl w:val="0"/>
          <w:numId w:val="33"/>
        </w:numPr>
        <w:tabs>
          <w:tab w:val="left" w:pos="0" w:leader="none"/>
        </w:tabs>
        <w:spacing w:before="0" w:after="0"/>
        <w:rPr/>
      </w:pPr>
      <w:r>
        <w:rPr/>
        <w:t xml:space="preserve">Psychotherapiegesetz </w:t>
      </w:r>
    </w:p>
    <w:p>
      <w:pPr>
        <w:pStyle w:val="Textkrper"/>
        <w:numPr>
          <w:ilvl w:val="0"/>
          <w:numId w:val="33"/>
        </w:numPr>
        <w:tabs>
          <w:tab w:val="left" w:pos="0" w:leader="none"/>
        </w:tabs>
        <w:spacing w:before="0" w:after="0"/>
        <w:rPr/>
      </w:pPr>
      <w:r>
        <w:rPr/>
        <w:t xml:space="preserve">Telekommunikationsgesetzes </w:t>
      </w:r>
    </w:p>
    <w:p>
      <w:pPr>
        <w:pStyle w:val="Textkrper"/>
        <w:numPr>
          <w:ilvl w:val="0"/>
          <w:numId w:val="33"/>
        </w:numPr>
        <w:tabs>
          <w:tab w:val="left" w:pos="0" w:leader="none"/>
        </w:tabs>
        <w:spacing w:before="0" w:after="0"/>
        <w:rPr/>
      </w:pPr>
      <w:hyperlink r:id="rId12">
        <w:r>
          <w:rPr>
            <w:rStyle w:val="Internetverknpfung"/>
          </w:rPr>
          <w:t xml:space="preserve">Berufskodex </w:t>
        </w:r>
      </w:hyperlink>
      <w:hyperlink r:id="rId13">
        <w:r>
          <w:rPr>
            <w:rStyle w:val="Internetverknpfung"/>
          </w:rPr>
          <w:t>für Psychotherapeutinnen und Psychotherapeuten</w:t>
        </w:r>
      </w:hyperlink>
      <w:r>
        <w:rPr/>
        <w:t xml:space="preserve"> </w:t>
      </w:r>
    </w:p>
    <w:p>
      <w:pPr>
        <w:pStyle w:val="Textkrper"/>
        <w:numPr>
          <w:ilvl w:val="0"/>
          <w:numId w:val="33"/>
        </w:numPr>
        <w:tabs>
          <w:tab w:val="left" w:pos="0" w:leader="none"/>
        </w:tabs>
        <w:spacing w:before="0" w:after="0"/>
        <w:rPr/>
      </w:pPr>
      <w:r>
        <w:rPr/>
        <w:t>„</w:t>
      </w:r>
      <w:r>
        <w:rPr/>
        <w:t xml:space="preserve">SA022 Kundenbetreuung und Marketing für eigene Zwecke“ siehe Verordnung des Bundeskanzlers über Standard- und Musteranwendungen nach dem Datenschutzgesetz 2000 (Standard- und Muster-Verordnung 2004 – StMV 2004) StF: </w:t>
      </w:r>
      <w:hyperlink r:id="rId14">
        <w:r>
          <w:rPr>
            <w:rStyle w:val="Internetverknpfung"/>
          </w:rPr>
          <w:t>II Nr. 312/2004</w:t>
        </w:r>
      </w:hyperlink>
      <w:r>
        <w:rPr/>
        <w:t xml:space="preserve"> </w:t>
      </w:r>
    </w:p>
    <w:p>
      <w:pPr>
        <w:pStyle w:val="Textkrper"/>
        <w:numPr>
          <w:ilvl w:val="0"/>
          <w:numId w:val="33"/>
        </w:numPr>
        <w:tabs>
          <w:tab w:val="left" w:pos="0" w:leader="none"/>
        </w:tabs>
        <w:rPr/>
      </w:pPr>
      <w:hyperlink r:id="rId15">
        <w:r>
          <w:rPr>
            <w:rStyle w:val="Internetverknpfung"/>
          </w:rPr>
          <w:t>Datenschutz-Folgenabschätzung-Ausnahmenverordnung (DSFA-AV), BGBl. II Nr. 108/2018</w:t>
        </w:r>
      </w:hyperlink>
      <w:r>
        <w:rPr/>
        <w:br/>
        <w:t xml:space="preserve">somit keine Folgeabschätzung für diese Verarbeitung notwendig </w:t>
      </w:r>
    </w:p>
    <w:p>
      <w:pPr>
        <w:pStyle w:val="Textkrper"/>
        <w:rPr/>
      </w:pPr>
      <w:r>
        <w:rPr>
          <w:rStyle w:val="Starkbetont"/>
        </w:rPr>
        <w:t>Verträge, Zustimmungserklärungen oder sonstige Unterlagen</w:t>
      </w:r>
      <w:r>
        <w:rPr/>
        <w:br/>
        <w:t>Zustimmungserklärungen bzw. Verträge sowie Verträge mit Auftragsverarbeitern usw. sind im Archiv abgelegt.</w:t>
        <w:br/>
      </w:r>
      <w:r>
        <w:rPr>
          <w:rStyle w:val="Starkbetont"/>
        </w:rPr>
        <w:t>Kategorien der verarbeiteten Daten</w:t>
      </w:r>
    </w:p>
    <w:tbl>
      <w:tblPr>
        <w:tblW w:w="10091" w:type="dxa"/>
        <w:jc w:val="left"/>
        <w:tblInd w:w="0" w:type="dxa"/>
        <w:tblBorders/>
        <w:tblCellMar>
          <w:top w:w="28" w:type="dxa"/>
          <w:left w:w="28" w:type="dxa"/>
          <w:bottom w:w="28" w:type="dxa"/>
          <w:right w:w="28" w:type="dxa"/>
        </w:tblCellMar>
        <w:tblLook w:firstRow="1" w:noVBand="1" w:lastRow="0" w:firstColumn="1" w:lastColumn="0" w:noHBand="0" w:val="04a0"/>
      </w:tblPr>
      <w:tblGrid>
        <w:gridCol w:w="1514"/>
        <w:gridCol w:w="775"/>
        <w:gridCol w:w="2931"/>
        <w:gridCol w:w="1506"/>
        <w:gridCol w:w="1406"/>
        <w:gridCol w:w="885"/>
        <w:gridCol w:w="1073"/>
      </w:tblGrid>
      <w:tr>
        <w:trPr/>
        <w:tc>
          <w:tcPr>
            <w:tcW w:w="1514" w:type="dxa"/>
            <w:tcBorders/>
            <w:shd w:fill="auto" w:val="clear"/>
            <w:vAlign w:val="center"/>
          </w:tcPr>
          <w:p>
            <w:pPr>
              <w:pStyle w:val="Tabelleninhalt"/>
              <w:suppressLineNumbers/>
              <w:spacing w:before="0" w:after="160"/>
              <w:rPr/>
            </w:pPr>
            <w:r>
              <w:rPr>
                <w:rStyle w:val="Starkbetont"/>
              </w:rPr>
              <w:t>Kategorien der</w:t>
              <w:br/>
              <w:t>betroffenen</w:t>
              <w:br/>
              <w:t>Personengruppe</w:t>
            </w:r>
          </w:p>
        </w:tc>
        <w:tc>
          <w:tcPr>
            <w:tcW w:w="775" w:type="dxa"/>
            <w:tcBorders/>
            <w:shd w:fill="auto" w:val="clear"/>
            <w:vAlign w:val="center"/>
          </w:tcPr>
          <w:p>
            <w:pPr>
              <w:pStyle w:val="Tabelleninhalt"/>
              <w:suppressLineNumbers/>
              <w:spacing w:before="0" w:after="160"/>
              <w:rPr/>
            </w:pPr>
            <w:r>
              <w:rPr>
                <w:rStyle w:val="Starkbetont"/>
              </w:rPr>
              <w:t>Lfd.  Nr.:</w:t>
            </w:r>
          </w:p>
        </w:tc>
        <w:tc>
          <w:tcPr>
            <w:tcW w:w="2931" w:type="dxa"/>
            <w:tcBorders/>
            <w:shd w:fill="auto" w:val="clear"/>
            <w:vAlign w:val="center"/>
          </w:tcPr>
          <w:p>
            <w:pPr>
              <w:pStyle w:val="Tabelleninhalt"/>
              <w:suppressLineNumbers/>
              <w:spacing w:before="0" w:after="160"/>
              <w:rPr/>
            </w:pPr>
            <w:r>
              <w:rPr>
                <w:rStyle w:val="Starkbetont"/>
              </w:rPr>
              <w:t>Datenkategorien</w:t>
            </w:r>
          </w:p>
        </w:tc>
        <w:tc>
          <w:tcPr>
            <w:tcW w:w="1506" w:type="dxa"/>
            <w:tcBorders/>
            <w:shd w:fill="auto" w:val="clear"/>
            <w:vAlign w:val="center"/>
          </w:tcPr>
          <w:p>
            <w:pPr>
              <w:pStyle w:val="Tabelleninhalt"/>
              <w:suppressLineNumbers/>
              <w:spacing w:before="0" w:after="160"/>
              <w:rPr/>
            </w:pPr>
            <w:r>
              <w:rPr>
                <w:rStyle w:val="Starkbetont"/>
              </w:rPr>
              <w:t>Besondere Datenkategorien im Sinne der Art 9 und Art 10 DSGVO</w:t>
            </w:r>
          </w:p>
        </w:tc>
        <w:tc>
          <w:tcPr>
            <w:tcW w:w="1406" w:type="dxa"/>
            <w:tcBorders/>
            <w:shd w:fill="auto" w:val="clear"/>
            <w:vAlign w:val="center"/>
          </w:tcPr>
          <w:p>
            <w:pPr>
              <w:pStyle w:val="Tabelleninhalt"/>
              <w:suppressLineNumbers/>
              <w:spacing w:before="0" w:after="160"/>
              <w:rPr/>
            </w:pPr>
            <w:r>
              <w:rPr>
                <w:rStyle w:val="Starkbetont"/>
              </w:rPr>
              <w:t>Rechtsvertreter</w:t>
              <w:br/>
              <w:t>im Anlassfall</w:t>
            </w:r>
          </w:p>
        </w:tc>
        <w:tc>
          <w:tcPr>
            <w:tcW w:w="885" w:type="dxa"/>
            <w:tcBorders/>
            <w:shd w:fill="auto" w:val="clear"/>
            <w:vAlign w:val="center"/>
          </w:tcPr>
          <w:p>
            <w:pPr>
              <w:pStyle w:val="Tabelleninhalt"/>
              <w:suppressLineNumbers/>
              <w:spacing w:before="0" w:after="160"/>
              <w:rPr/>
            </w:pPr>
            <w:r>
              <w:rPr>
                <w:rStyle w:val="Starkbetont"/>
              </w:rPr>
              <w:t>Gericht</w:t>
              <w:br/>
              <w:t>im Anlassfall</w:t>
            </w:r>
          </w:p>
        </w:tc>
        <w:tc>
          <w:tcPr>
            <w:tcW w:w="1073" w:type="dxa"/>
            <w:tcBorders/>
            <w:shd w:fill="auto" w:val="clear"/>
            <w:vAlign w:val="center"/>
          </w:tcPr>
          <w:p>
            <w:pPr>
              <w:pStyle w:val="Tabelleninhalt"/>
              <w:suppressLineNumbers/>
              <w:spacing w:before="0" w:after="160"/>
              <w:rPr/>
            </w:pPr>
            <w:r>
              <w:rPr>
                <w:rStyle w:val="Starkbetont"/>
              </w:rPr>
              <w:t>Externes</w:t>
              <w:br/>
              <w:t>Newsletter-Toll</w:t>
            </w:r>
          </w:p>
        </w:tc>
      </w:tr>
      <w:tr>
        <w:trPr/>
        <w:tc>
          <w:tcPr>
            <w:tcW w:w="1514" w:type="dxa"/>
            <w:vMerge w:val="restart"/>
            <w:tcBorders/>
            <w:shd w:fill="auto" w:val="clear"/>
            <w:vAlign w:val="center"/>
          </w:tcPr>
          <w:p>
            <w:pPr>
              <w:pStyle w:val="Tabelleninhalt"/>
              <w:suppressLineNumbers/>
              <w:spacing w:before="0" w:after="160"/>
              <w:rPr/>
            </w:pPr>
            <w:r>
              <w:rPr/>
              <w:t>1. Klienten, Aus-/Fortzubildende und Interessenten</w:t>
            </w:r>
          </w:p>
        </w:tc>
        <w:tc>
          <w:tcPr>
            <w:tcW w:w="775" w:type="dxa"/>
            <w:tcBorders/>
            <w:shd w:fill="auto" w:val="clear"/>
            <w:vAlign w:val="center"/>
          </w:tcPr>
          <w:p>
            <w:pPr>
              <w:pStyle w:val="Tabelleninhalt"/>
              <w:suppressLineNumbers/>
              <w:spacing w:before="0" w:after="160"/>
              <w:rPr/>
            </w:pPr>
            <w:r>
              <w:rPr/>
              <w:t>01</w:t>
            </w:r>
          </w:p>
        </w:tc>
        <w:tc>
          <w:tcPr>
            <w:tcW w:w="2931" w:type="dxa"/>
            <w:tcBorders/>
            <w:shd w:fill="auto" w:val="clear"/>
            <w:vAlign w:val="center"/>
          </w:tcPr>
          <w:p>
            <w:pPr>
              <w:pStyle w:val="Tabelleninhalt"/>
              <w:suppressLineNumbers/>
              <w:spacing w:before="0" w:after="160"/>
              <w:rPr/>
            </w:pPr>
            <w:r>
              <w:rPr/>
              <w:t>Ordnungs-/Klienten-/Auszubildendennummer</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02</w:t>
            </w:r>
          </w:p>
        </w:tc>
        <w:tc>
          <w:tcPr>
            <w:tcW w:w="2931" w:type="dxa"/>
            <w:tcBorders/>
            <w:shd w:fill="auto" w:val="clear"/>
            <w:vAlign w:val="center"/>
          </w:tcPr>
          <w:p>
            <w:pPr>
              <w:pStyle w:val="Tabelleninhalt"/>
              <w:suppressLineNumbers/>
              <w:spacing w:before="0" w:after="160"/>
              <w:rPr/>
            </w:pPr>
            <w:r>
              <w:rPr/>
              <w:t>Name bzw. Bezeichnung</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X</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03</w:t>
            </w:r>
          </w:p>
        </w:tc>
        <w:tc>
          <w:tcPr>
            <w:tcW w:w="2931" w:type="dxa"/>
            <w:tcBorders/>
            <w:shd w:fill="auto" w:val="clear"/>
            <w:vAlign w:val="center"/>
          </w:tcPr>
          <w:p>
            <w:pPr>
              <w:pStyle w:val="Tabelleninhalt"/>
              <w:suppressLineNumbers/>
              <w:spacing w:before="0" w:after="160"/>
              <w:rPr/>
            </w:pPr>
            <w:r>
              <w:rPr/>
              <w:t>Anrede/Geschlecht</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X</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04</w:t>
            </w:r>
          </w:p>
        </w:tc>
        <w:tc>
          <w:tcPr>
            <w:tcW w:w="2931" w:type="dxa"/>
            <w:tcBorders/>
            <w:shd w:fill="auto" w:val="clear"/>
            <w:vAlign w:val="center"/>
          </w:tcPr>
          <w:p>
            <w:pPr>
              <w:pStyle w:val="Tabelleninhalt"/>
              <w:suppressLineNumbers/>
              <w:spacing w:before="0" w:after="160"/>
              <w:rPr/>
            </w:pPr>
            <w:r>
              <w:rPr/>
              <w:t>Anschrift bzw. Lieferadresse</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05</w:t>
            </w:r>
          </w:p>
        </w:tc>
        <w:tc>
          <w:tcPr>
            <w:tcW w:w="2931" w:type="dxa"/>
            <w:tcBorders/>
            <w:shd w:fill="auto" w:val="clear"/>
            <w:vAlign w:val="center"/>
          </w:tcPr>
          <w:p>
            <w:pPr>
              <w:pStyle w:val="Tabelleninhalt"/>
              <w:suppressLineNumbers/>
              <w:spacing w:before="0" w:after="160"/>
              <w:rPr/>
            </w:pPr>
            <w:r>
              <w:rPr/>
              <w:t>Telefon-, Handy-, Faxnummer, Emails,</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t>Email</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06</w:t>
            </w:r>
          </w:p>
        </w:tc>
        <w:tc>
          <w:tcPr>
            <w:tcW w:w="2931" w:type="dxa"/>
            <w:tcBorders/>
            <w:shd w:fill="auto" w:val="clear"/>
            <w:vAlign w:val="center"/>
          </w:tcPr>
          <w:p>
            <w:pPr>
              <w:pStyle w:val="Tabelleninhalt"/>
              <w:suppressLineNumbers/>
              <w:spacing w:before="0" w:after="160"/>
              <w:rPr/>
            </w:pPr>
            <w:r>
              <w:rPr/>
              <w:t>IP-Adressse</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07</w:t>
            </w:r>
          </w:p>
        </w:tc>
        <w:tc>
          <w:tcPr>
            <w:tcW w:w="2931" w:type="dxa"/>
            <w:tcBorders/>
            <w:shd w:fill="auto" w:val="clear"/>
            <w:vAlign w:val="center"/>
          </w:tcPr>
          <w:p>
            <w:pPr>
              <w:pStyle w:val="Tabelleninhalt"/>
              <w:suppressLineNumbers/>
              <w:spacing w:before="0" w:after="160"/>
              <w:rPr/>
            </w:pPr>
            <w:r>
              <w:rPr/>
              <w:t>Einwilligung nach Art 4 abgelegt</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08</w:t>
            </w:r>
          </w:p>
        </w:tc>
        <w:tc>
          <w:tcPr>
            <w:tcW w:w="2931" w:type="dxa"/>
            <w:tcBorders/>
            <w:shd w:fill="auto" w:val="clear"/>
            <w:vAlign w:val="center"/>
          </w:tcPr>
          <w:p>
            <w:pPr>
              <w:pStyle w:val="Tabelleninhalt"/>
              <w:suppressLineNumbers/>
              <w:spacing w:before="0" w:after="160"/>
              <w:rPr/>
            </w:pPr>
            <w:r>
              <w:rPr/>
              <w:t>Berufs-, Branchen-  Geschäftsbezeichnung</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09</w:t>
            </w:r>
          </w:p>
        </w:tc>
        <w:tc>
          <w:tcPr>
            <w:tcW w:w="2931" w:type="dxa"/>
            <w:tcBorders/>
            <w:shd w:fill="auto" w:val="clear"/>
            <w:vAlign w:val="center"/>
          </w:tcPr>
          <w:p>
            <w:pPr>
              <w:pStyle w:val="Tabelleninhalt"/>
              <w:suppressLineNumbers/>
              <w:spacing w:before="0" w:after="160"/>
              <w:rPr/>
            </w:pPr>
            <w:r>
              <w:rPr/>
              <w:t>Nachfrageinteressen (auf Grund bisherigen Nachfrageverhaltens oder eigener Angaben des Kunden gegenüber dem Auftraggeber)</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10</w:t>
            </w:r>
          </w:p>
        </w:tc>
        <w:tc>
          <w:tcPr>
            <w:tcW w:w="2931" w:type="dxa"/>
            <w:tcBorders/>
            <w:shd w:fill="auto" w:val="clear"/>
            <w:vAlign w:val="center"/>
          </w:tcPr>
          <w:p>
            <w:pPr>
              <w:pStyle w:val="Tabelleninhalt"/>
              <w:suppressLineNumbers/>
              <w:spacing w:before="0" w:after="160"/>
              <w:rPr/>
            </w:pPr>
            <w:r>
              <w:rPr/>
              <w:t>Art der Leistung</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11</w:t>
            </w:r>
          </w:p>
        </w:tc>
        <w:tc>
          <w:tcPr>
            <w:tcW w:w="2931" w:type="dxa"/>
            <w:tcBorders/>
            <w:shd w:fill="auto" w:val="clear"/>
            <w:vAlign w:val="center"/>
          </w:tcPr>
          <w:p>
            <w:pPr>
              <w:pStyle w:val="Tabelleninhalt"/>
              <w:suppressLineNumbers/>
              <w:spacing w:before="0" w:after="160"/>
              <w:rPr/>
            </w:pPr>
            <w:r>
              <w:rPr/>
              <w:t>Umfang der Leistung</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12</w:t>
            </w:r>
          </w:p>
        </w:tc>
        <w:tc>
          <w:tcPr>
            <w:tcW w:w="2931" w:type="dxa"/>
            <w:tcBorders/>
            <w:shd w:fill="auto" w:val="clear"/>
            <w:vAlign w:val="center"/>
          </w:tcPr>
          <w:p>
            <w:pPr>
              <w:pStyle w:val="Tabelleninhalt"/>
              <w:suppressLineNumbers/>
              <w:spacing w:before="0" w:after="160"/>
              <w:rPr/>
            </w:pPr>
            <w:r>
              <w:rPr/>
              <w:t>Gefordertes Entgelt</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13</w:t>
            </w:r>
          </w:p>
        </w:tc>
        <w:tc>
          <w:tcPr>
            <w:tcW w:w="2931" w:type="dxa"/>
            <w:tcBorders/>
            <w:shd w:fill="auto" w:val="clear"/>
            <w:vAlign w:val="center"/>
          </w:tcPr>
          <w:p>
            <w:pPr>
              <w:pStyle w:val="Tabelleninhalt"/>
              <w:suppressLineNumbers/>
              <w:spacing w:before="0" w:after="160"/>
              <w:rPr/>
            </w:pPr>
            <w:r>
              <w:rPr/>
              <w:t>Rechte der Klienten bzw Aus-/Fortzubildenden</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14</w:t>
            </w:r>
          </w:p>
        </w:tc>
        <w:tc>
          <w:tcPr>
            <w:tcW w:w="2931" w:type="dxa"/>
            <w:tcBorders/>
            <w:shd w:fill="auto" w:val="clear"/>
            <w:vAlign w:val="center"/>
          </w:tcPr>
          <w:p>
            <w:pPr>
              <w:pStyle w:val="Tabelleninhalt"/>
              <w:suppressLineNumbers/>
              <w:spacing w:before="0" w:after="160"/>
              <w:rPr/>
            </w:pPr>
            <w:r>
              <w:rPr/>
              <w:t> </w:t>
            </w:r>
            <w:r>
              <w:rPr/>
              <w:t>Newsletter-Sperre</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15</w:t>
            </w:r>
          </w:p>
        </w:tc>
        <w:tc>
          <w:tcPr>
            <w:tcW w:w="2931" w:type="dxa"/>
            <w:tcBorders/>
            <w:shd w:fill="auto" w:val="clear"/>
            <w:vAlign w:val="center"/>
          </w:tcPr>
          <w:p>
            <w:pPr>
              <w:pStyle w:val="Tabelleninhalt"/>
              <w:suppressLineNumbers/>
              <w:spacing w:before="0" w:after="160"/>
              <w:rPr/>
            </w:pPr>
            <w:r>
              <w:rPr/>
              <w:t>Auftragssperre</w:t>
              <w:br/>
              <w:t>= Recht auf Einschränkung geltend gemacht</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16</w:t>
            </w:r>
          </w:p>
        </w:tc>
        <w:tc>
          <w:tcPr>
            <w:tcW w:w="2931" w:type="dxa"/>
            <w:tcBorders/>
            <w:shd w:fill="auto" w:val="clear"/>
            <w:vAlign w:val="center"/>
          </w:tcPr>
          <w:p>
            <w:pPr>
              <w:pStyle w:val="Tabelleninhalt"/>
              <w:suppressLineNumbers/>
              <w:spacing w:before="0" w:after="160"/>
              <w:rPr/>
            </w:pPr>
            <w:r>
              <w:rPr/>
              <w:t>Fotos</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restart"/>
            <w:tcBorders/>
            <w:shd w:fill="auto" w:val="clear"/>
            <w:vAlign w:val="center"/>
          </w:tcPr>
          <w:p>
            <w:pPr>
              <w:pStyle w:val="Tabelleninhalt"/>
              <w:suppressLineNumbers/>
              <w:spacing w:before="0" w:after="160"/>
              <w:rPr/>
            </w:pPr>
            <w:r>
              <w:rPr/>
              <w:t>Kontaktpersonen bei Klienten, Aus-/Fortzubildende und Interessenten</w:t>
            </w:r>
          </w:p>
        </w:tc>
        <w:tc>
          <w:tcPr>
            <w:tcW w:w="775" w:type="dxa"/>
            <w:tcBorders/>
            <w:shd w:fill="auto" w:val="clear"/>
            <w:vAlign w:val="center"/>
          </w:tcPr>
          <w:p>
            <w:pPr>
              <w:pStyle w:val="Tabelleninhalt"/>
              <w:suppressLineNumbers/>
              <w:spacing w:before="0" w:after="160"/>
              <w:rPr/>
            </w:pPr>
            <w:r>
              <w:rPr/>
              <w:t>17</w:t>
            </w:r>
          </w:p>
        </w:tc>
        <w:tc>
          <w:tcPr>
            <w:tcW w:w="2931" w:type="dxa"/>
            <w:tcBorders/>
            <w:shd w:fill="auto" w:val="clear"/>
            <w:vAlign w:val="center"/>
          </w:tcPr>
          <w:p>
            <w:pPr>
              <w:pStyle w:val="Tabelleninhalt"/>
              <w:suppressLineNumbers/>
              <w:spacing w:before="0" w:after="160"/>
              <w:rPr/>
            </w:pPr>
            <w:r>
              <w:rPr/>
              <w:t>Ordnungs-/Klienten-/Auszubildendennumme</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18</w:t>
            </w:r>
          </w:p>
        </w:tc>
        <w:tc>
          <w:tcPr>
            <w:tcW w:w="2931" w:type="dxa"/>
            <w:tcBorders/>
            <w:shd w:fill="auto" w:val="clear"/>
            <w:vAlign w:val="center"/>
          </w:tcPr>
          <w:p>
            <w:pPr>
              <w:pStyle w:val="Tabelleninhalt"/>
              <w:suppressLineNumbers/>
              <w:spacing w:before="0" w:after="160"/>
              <w:rPr/>
            </w:pPr>
            <w:r>
              <w:rPr/>
              <w:t>Name bzw. Bezeichnung,</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X</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19</w:t>
            </w:r>
          </w:p>
        </w:tc>
        <w:tc>
          <w:tcPr>
            <w:tcW w:w="2931" w:type="dxa"/>
            <w:tcBorders/>
            <w:shd w:fill="auto" w:val="clear"/>
            <w:vAlign w:val="center"/>
          </w:tcPr>
          <w:p>
            <w:pPr>
              <w:pStyle w:val="Tabelleninhalt"/>
              <w:suppressLineNumbers/>
              <w:spacing w:before="0" w:after="160"/>
              <w:rPr/>
            </w:pPr>
            <w:r>
              <w:rPr/>
              <w:t>Anrede/Geschlecht</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X</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20</w:t>
            </w:r>
          </w:p>
        </w:tc>
        <w:tc>
          <w:tcPr>
            <w:tcW w:w="2931" w:type="dxa"/>
            <w:tcBorders/>
            <w:shd w:fill="auto" w:val="clear"/>
            <w:vAlign w:val="center"/>
          </w:tcPr>
          <w:p>
            <w:pPr>
              <w:pStyle w:val="Tabelleninhalt"/>
              <w:suppressLineNumbers/>
              <w:spacing w:before="0" w:after="160"/>
              <w:rPr/>
            </w:pPr>
            <w:r>
              <w:rPr/>
              <w:t>Zugehöriger Kunde oder Interessent (Bezeichnung und Anschrift)</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21</w:t>
            </w:r>
          </w:p>
        </w:tc>
        <w:tc>
          <w:tcPr>
            <w:tcW w:w="2931" w:type="dxa"/>
            <w:tcBorders/>
            <w:shd w:fill="auto" w:val="clear"/>
            <w:vAlign w:val="center"/>
          </w:tcPr>
          <w:p>
            <w:pPr>
              <w:pStyle w:val="Tabelleninhalt"/>
              <w:suppressLineNumbers/>
              <w:spacing w:before="0" w:after="160"/>
              <w:rPr/>
            </w:pPr>
            <w:r>
              <w:rPr/>
              <w:t>Telefon-, Handy-, Faxnummer, Emails, …</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Email</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22</w:t>
            </w:r>
          </w:p>
        </w:tc>
        <w:tc>
          <w:tcPr>
            <w:tcW w:w="2931" w:type="dxa"/>
            <w:tcBorders/>
            <w:shd w:fill="auto" w:val="clear"/>
            <w:vAlign w:val="center"/>
          </w:tcPr>
          <w:p>
            <w:pPr>
              <w:pStyle w:val="Tabelleninhalt"/>
              <w:suppressLineNumbers/>
              <w:spacing w:before="0" w:after="160"/>
              <w:rPr/>
            </w:pPr>
            <w:r>
              <w:rPr/>
              <w:t>Funktion oder betreutes Aufgabengebiet beim Kunden oder Interessenten</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23</w:t>
            </w:r>
          </w:p>
        </w:tc>
        <w:tc>
          <w:tcPr>
            <w:tcW w:w="2931" w:type="dxa"/>
            <w:tcBorders/>
            <w:shd w:fill="auto" w:val="clear"/>
            <w:vAlign w:val="center"/>
          </w:tcPr>
          <w:p>
            <w:pPr>
              <w:pStyle w:val="Tabelleninhalt"/>
              <w:suppressLineNumbers/>
              <w:spacing w:before="0" w:after="160"/>
              <w:rPr/>
            </w:pPr>
            <w:r>
              <w:rPr/>
              <w:t>IP-Adressse</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24</w:t>
            </w:r>
          </w:p>
        </w:tc>
        <w:tc>
          <w:tcPr>
            <w:tcW w:w="2931" w:type="dxa"/>
            <w:tcBorders/>
            <w:shd w:fill="auto" w:val="clear"/>
            <w:vAlign w:val="center"/>
          </w:tcPr>
          <w:p>
            <w:pPr>
              <w:pStyle w:val="Tabelleninhalt"/>
              <w:suppressLineNumbers/>
              <w:spacing w:before="0" w:after="160"/>
              <w:rPr/>
            </w:pPr>
            <w:r>
              <w:rPr/>
              <w:t>Einwilligung nach Art 4 abgelegt</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25</w:t>
            </w:r>
          </w:p>
        </w:tc>
        <w:tc>
          <w:tcPr>
            <w:tcW w:w="2931" w:type="dxa"/>
            <w:tcBorders/>
            <w:shd w:fill="auto" w:val="clear"/>
            <w:vAlign w:val="center"/>
          </w:tcPr>
          <w:p>
            <w:pPr>
              <w:pStyle w:val="Tabelleninhalt"/>
              <w:suppressLineNumbers/>
              <w:spacing w:before="0" w:after="160"/>
              <w:rPr/>
            </w:pPr>
            <w:r>
              <w:rPr/>
              <w:t>Berufs-, Branchen-  Geschäftsbezeichnung</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26</w:t>
            </w:r>
          </w:p>
        </w:tc>
        <w:tc>
          <w:tcPr>
            <w:tcW w:w="2931" w:type="dxa"/>
            <w:tcBorders/>
            <w:shd w:fill="auto" w:val="clear"/>
            <w:vAlign w:val="center"/>
          </w:tcPr>
          <w:p>
            <w:pPr>
              <w:pStyle w:val="Tabelleninhalt"/>
              <w:suppressLineNumbers/>
              <w:spacing w:before="0" w:after="160"/>
              <w:rPr/>
            </w:pPr>
            <w:r>
              <w:rPr/>
              <w:t>Nachfrageinteressen (auf Grund bisherigen Nachfrageverhaltens oder eigener Angaben des Kunden gegenüber dem Auftraggeber)</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27</w:t>
            </w:r>
          </w:p>
        </w:tc>
        <w:tc>
          <w:tcPr>
            <w:tcW w:w="2931" w:type="dxa"/>
            <w:tcBorders/>
            <w:shd w:fill="auto" w:val="clear"/>
            <w:vAlign w:val="center"/>
          </w:tcPr>
          <w:p>
            <w:pPr>
              <w:pStyle w:val="Tabelleninhalt"/>
              <w:suppressLineNumbers/>
              <w:spacing w:before="0" w:after="160"/>
              <w:rPr/>
            </w:pPr>
            <w:r>
              <w:rPr/>
              <w:t>Art der Leistung</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28</w:t>
            </w:r>
          </w:p>
        </w:tc>
        <w:tc>
          <w:tcPr>
            <w:tcW w:w="2931" w:type="dxa"/>
            <w:tcBorders/>
            <w:shd w:fill="auto" w:val="clear"/>
            <w:vAlign w:val="center"/>
          </w:tcPr>
          <w:p>
            <w:pPr>
              <w:pStyle w:val="Tabelleninhalt"/>
              <w:suppressLineNumbers/>
              <w:spacing w:before="0" w:after="160"/>
              <w:rPr/>
            </w:pPr>
            <w:r>
              <w:rPr/>
              <w:t>Umfang der Leistung</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29</w:t>
            </w:r>
          </w:p>
        </w:tc>
        <w:tc>
          <w:tcPr>
            <w:tcW w:w="2931" w:type="dxa"/>
            <w:tcBorders/>
            <w:shd w:fill="auto" w:val="clear"/>
            <w:vAlign w:val="center"/>
          </w:tcPr>
          <w:p>
            <w:pPr>
              <w:pStyle w:val="Tabelleninhalt"/>
              <w:suppressLineNumbers/>
              <w:spacing w:before="0" w:after="160"/>
              <w:rPr/>
            </w:pPr>
            <w:r>
              <w:rPr/>
              <w:t>Gefordertes Entgelt</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pacing w:before="0" w:after="160"/>
              <w:rPr>
                <w:sz w:val="4"/>
                <w:szCs w:val="4"/>
              </w:rPr>
            </w:pPr>
            <w:r>
              <w:rPr>
                <w:sz w:val="4"/>
                <w:szCs w:val="4"/>
              </w:rPr>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30</w:t>
            </w:r>
          </w:p>
        </w:tc>
        <w:tc>
          <w:tcPr>
            <w:tcW w:w="2931" w:type="dxa"/>
            <w:tcBorders/>
            <w:shd w:fill="auto" w:val="clear"/>
            <w:vAlign w:val="center"/>
          </w:tcPr>
          <w:p>
            <w:pPr>
              <w:pStyle w:val="Tabelleninhalt"/>
              <w:suppressLineNumbers/>
              <w:spacing w:before="0" w:after="160"/>
              <w:rPr/>
            </w:pPr>
            <w:r>
              <w:rPr/>
              <w:t>Rechte der Klienten bzw Aus-/Fortzubildenden</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pacing w:before="0" w:after="160"/>
              <w:rPr>
                <w:sz w:val="4"/>
                <w:szCs w:val="4"/>
              </w:rPr>
            </w:pPr>
            <w:r>
              <w:rPr>
                <w:sz w:val="4"/>
                <w:szCs w:val="4"/>
              </w:rPr>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31</w:t>
            </w:r>
          </w:p>
        </w:tc>
        <w:tc>
          <w:tcPr>
            <w:tcW w:w="2931" w:type="dxa"/>
            <w:tcBorders/>
            <w:shd w:fill="auto" w:val="clear"/>
            <w:vAlign w:val="center"/>
          </w:tcPr>
          <w:p>
            <w:pPr>
              <w:pStyle w:val="Tabelleninhalt"/>
              <w:suppressLineNumbers/>
              <w:spacing w:before="0" w:after="160"/>
              <w:rPr/>
            </w:pPr>
            <w:r>
              <w:rPr/>
              <w:t> </w:t>
            </w:r>
            <w:r>
              <w:rPr/>
              <w:t>Newsletter-Sperre</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pacing w:before="0" w:after="160"/>
              <w:rPr>
                <w:sz w:val="4"/>
                <w:szCs w:val="4"/>
              </w:rPr>
            </w:pPr>
            <w:r>
              <w:rPr>
                <w:sz w:val="4"/>
                <w:szCs w:val="4"/>
              </w:rPr>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32</w:t>
            </w:r>
          </w:p>
        </w:tc>
        <w:tc>
          <w:tcPr>
            <w:tcW w:w="2931" w:type="dxa"/>
            <w:tcBorders/>
            <w:shd w:fill="auto" w:val="clear"/>
            <w:vAlign w:val="center"/>
          </w:tcPr>
          <w:p>
            <w:pPr>
              <w:pStyle w:val="Tabelleninhalt"/>
              <w:suppressLineNumbers/>
              <w:spacing w:before="0" w:after="160"/>
              <w:rPr/>
            </w:pPr>
            <w:r>
              <w:rPr/>
              <w:t>Auftragssperre</w:t>
              <w:br/>
              <w:t>= Recht auf Einschränkung geltend gemacht</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pacing w:before="0" w:after="160"/>
              <w:rPr>
                <w:sz w:val="4"/>
                <w:szCs w:val="4"/>
              </w:rPr>
            </w:pPr>
            <w:r>
              <w:rPr>
                <w:sz w:val="4"/>
                <w:szCs w:val="4"/>
              </w:rPr>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33</w:t>
            </w:r>
          </w:p>
        </w:tc>
        <w:tc>
          <w:tcPr>
            <w:tcW w:w="2931" w:type="dxa"/>
            <w:tcBorders/>
            <w:shd w:fill="auto" w:val="clear"/>
            <w:vAlign w:val="center"/>
          </w:tcPr>
          <w:p>
            <w:pPr>
              <w:pStyle w:val="Tabelleninhalt"/>
              <w:suppressLineNumbers/>
              <w:spacing w:before="0" w:after="160"/>
              <w:rPr/>
            </w:pPr>
            <w:r>
              <w:rPr/>
              <w:t>Fotos</w:t>
            </w:r>
          </w:p>
        </w:tc>
        <w:tc>
          <w:tcPr>
            <w:tcW w:w="1506"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pacing w:before="0" w:after="160"/>
              <w:rPr>
                <w:sz w:val="4"/>
                <w:szCs w:val="4"/>
              </w:rPr>
            </w:pPr>
            <w:r>
              <w:rPr>
                <w:sz w:val="4"/>
                <w:szCs w:val="4"/>
              </w:rPr>
            </w:r>
          </w:p>
        </w:tc>
      </w:tr>
    </w:tbl>
    <w:p>
      <w:pPr>
        <w:pStyle w:val="Textkrper"/>
        <w:rPr/>
      </w:pPr>
      <w:r>
        <w:rPr>
          <w:rStyle w:val="Starkbetont"/>
        </w:rPr>
        <w:t>Löschungs- und Aufbewahrungsfristen</w:t>
      </w:r>
    </w:p>
    <w:tbl>
      <w:tblPr>
        <w:tblW w:w="7488" w:type="dxa"/>
        <w:jc w:val="left"/>
        <w:tblInd w:w="0" w:type="dxa"/>
        <w:tblBorders/>
        <w:tblCellMar>
          <w:top w:w="28" w:type="dxa"/>
          <w:left w:w="28" w:type="dxa"/>
          <w:bottom w:w="28" w:type="dxa"/>
          <w:right w:w="28" w:type="dxa"/>
        </w:tblCellMar>
        <w:tblLook w:firstRow="1" w:noVBand="1" w:lastRow="0" w:firstColumn="1" w:lastColumn="0" w:noHBand="0" w:val="04a0"/>
      </w:tblPr>
      <w:tblGrid>
        <w:gridCol w:w="2068"/>
        <w:gridCol w:w="5419"/>
      </w:tblGrid>
      <w:tr>
        <w:trPr/>
        <w:tc>
          <w:tcPr>
            <w:tcW w:w="2068" w:type="dxa"/>
            <w:tcBorders/>
            <w:shd w:fill="auto" w:val="clear"/>
            <w:vAlign w:val="center"/>
          </w:tcPr>
          <w:p>
            <w:pPr>
              <w:pStyle w:val="Tabelleninhalt"/>
              <w:suppressLineNumbers/>
              <w:spacing w:before="0" w:after="160"/>
              <w:rPr/>
            </w:pPr>
            <w:r>
              <w:rPr>
                <w:rStyle w:val="Starkbetont"/>
              </w:rPr>
              <w:t>Daten (Lfd. Nr.)</w:t>
            </w:r>
          </w:p>
        </w:tc>
        <w:tc>
          <w:tcPr>
            <w:tcW w:w="5419" w:type="dxa"/>
            <w:tcBorders/>
            <w:shd w:fill="auto" w:val="clear"/>
            <w:vAlign w:val="center"/>
          </w:tcPr>
          <w:p>
            <w:pPr>
              <w:pStyle w:val="Tabelleninhalt"/>
              <w:suppressLineNumbers/>
              <w:spacing w:before="0" w:after="160"/>
              <w:rPr/>
            </w:pPr>
            <w:r>
              <w:rPr>
                <w:rStyle w:val="Starkbetont"/>
              </w:rPr>
              <w:t>Angabe bzw. Beschreibung der Löschungs- bzw. Aufbewahrungsfristen</w:t>
            </w:r>
          </w:p>
        </w:tc>
      </w:tr>
      <w:tr>
        <w:trPr/>
        <w:tc>
          <w:tcPr>
            <w:tcW w:w="2068" w:type="dxa"/>
            <w:tcBorders/>
            <w:shd w:fill="auto" w:val="clear"/>
            <w:vAlign w:val="center"/>
          </w:tcPr>
          <w:p>
            <w:pPr>
              <w:pStyle w:val="Tabelleninhalt"/>
              <w:suppressLineNumbers/>
              <w:spacing w:before="0" w:after="160"/>
              <w:rPr/>
            </w:pPr>
            <w:r>
              <w:rPr/>
              <w:t>1 –  33</w:t>
            </w:r>
          </w:p>
        </w:tc>
        <w:tc>
          <w:tcPr>
            <w:tcW w:w="5419" w:type="dxa"/>
            <w:tcBorders/>
            <w:shd w:fill="auto" w:val="clear"/>
            <w:vAlign w:val="center"/>
          </w:tcPr>
          <w:p>
            <w:pPr>
              <w:pStyle w:val="Tabelleninhalt"/>
              <w:suppressLineNumbers/>
              <w:spacing w:before="0" w:after="160"/>
              <w:rPr/>
            </w:pPr>
            <w:r>
              <w:rPr/>
              <w:t>Bei einem bestehenden oder abgeschlossenem Vertrag aufgrund der gesetzlichen Aufbewahrungsfristen wie z. B. § 132 Abs 1 BAO, §§ 190, 212 UGB, § 18 UStG Abs 2 Z3 auf jeden Fall 7 Jahre; darüberhinausgehend bis zur Beendigung eines allfälligen Rechtsstreits, fortlaufender Gewährleistungs- oder Garantiefristen</w:t>
            </w:r>
          </w:p>
        </w:tc>
      </w:tr>
      <w:tr>
        <w:trPr/>
        <w:tc>
          <w:tcPr>
            <w:tcW w:w="2068" w:type="dxa"/>
            <w:tcBorders/>
            <w:shd w:fill="auto" w:val="clear"/>
            <w:vAlign w:val="center"/>
          </w:tcPr>
          <w:p>
            <w:pPr>
              <w:pStyle w:val="Tabelleninhalt"/>
              <w:suppressLineNumbers/>
              <w:spacing w:before="0" w:after="160"/>
              <w:rPr/>
            </w:pPr>
            <w:r>
              <w:rPr/>
              <w:t>Interessenten</w:t>
            </w:r>
          </w:p>
        </w:tc>
        <w:tc>
          <w:tcPr>
            <w:tcW w:w="5419" w:type="dxa"/>
            <w:tcBorders/>
            <w:shd w:fill="auto" w:val="clear"/>
            <w:vAlign w:val="center"/>
          </w:tcPr>
          <w:p>
            <w:pPr>
              <w:pStyle w:val="Tabelleninhalt"/>
              <w:suppressLineNumbers/>
              <w:spacing w:before="0" w:after="160"/>
              <w:rPr/>
            </w:pPr>
            <w:r>
              <w:rPr/>
              <w:t>2 Jahre nach letztem Kontakt (-versuch)</w:t>
            </w:r>
          </w:p>
        </w:tc>
      </w:tr>
      <w:tr>
        <w:trPr/>
        <w:tc>
          <w:tcPr>
            <w:tcW w:w="2068" w:type="dxa"/>
            <w:tcBorders/>
            <w:shd w:fill="auto" w:val="clear"/>
            <w:vAlign w:val="center"/>
          </w:tcPr>
          <w:p>
            <w:pPr>
              <w:pStyle w:val="Tabelleninhalt"/>
              <w:suppressLineNumbers/>
              <w:spacing w:before="0" w:after="160"/>
              <w:rPr/>
            </w:pPr>
            <w:r>
              <w:rPr/>
              <w:t>Newsletter, Fotos</w:t>
            </w:r>
          </w:p>
        </w:tc>
        <w:tc>
          <w:tcPr>
            <w:tcW w:w="5419" w:type="dxa"/>
            <w:tcBorders/>
            <w:shd w:fill="auto" w:val="clear"/>
            <w:vAlign w:val="center"/>
          </w:tcPr>
          <w:p>
            <w:pPr>
              <w:pStyle w:val="Tabelleninhalt"/>
              <w:suppressLineNumbers/>
              <w:spacing w:before="0" w:after="160"/>
              <w:rPr/>
            </w:pPr>
            <w:r>
              <w:rPr/>
              <w:t>Recht auf Widerspruch (Art 21 DSGVO)</w:t>
            </w:r>
          </w:p>
        </w:tc>
      </w:tr>
      <w:tr>
        <w:trPr/>
        <w:tc>
          <w:tcPr>
            <w:tcW w:w="2068" w:type="dxa"/>
            <w:tcBorders/>
            <w:shd w:fill="auto" w:val="clear"/>
            <w:vAlign w:val="center"/>
          </w:tcPr>
          <w:p>
            <w:pPr>
              <w:pStyle w:val="Tabelleninhalt"/>
              <w:suppressLineNumbers/>
              <w:spacing w:before="0" w:after="160"/>
              <w:rPr/>
            </w:pPr>
            <w:r>
              <w:rPr/>
              <w:t>IP-Adresse</w:t>
            </w:r>
          </w:p>
        </w:tc>
        <w:tc>
          <w:tcPr>
            <w:tcW w:w="5419" w:type="dxa"/>
            <w:tcBorders/>
            <w:shd w:fill="auto" w:val="clear"/>
            <w:vAlign w:val="center"/>
          </w:tcPr>
          <w:p>
            <w:pPr>
              <w:pStyle w:val="Tabelleninhalt"/>
              <w:suppressLineNumbers/>
              <w:spacing w:before="0" w:after="160"/>
              <w:rPr/>
            </w:pPr>
            <w:r>
              <w:rPr/>
              <w:t>Zu eigenen Sicherheitszwecken:</w:t>
              <w:br/>
              <w:t>Speicherfrist von maximal 7 Tagen</w:t>
              <w:br/>
              <w:t>(siehe Datenschutzerklärung auf Homepage)</w:t>
            </w:r>
          </w:p>
        </w:tc>
      </w:tr>
    </w:tbl>
    <w:p>
      <w:pPr>
        <w:pStyle w:val="Textkrper"/>
        <w:rPr/>
      </w:pPr>
      <w:r>
        <w:rPr>
          <w:rStyle w:val="Starkbetont"/>
        </w:rPr>
        <w:t>Kategorien der Empfänger sowie Übermittlungsort (Drittstaat, Internationale Organisation)</w:t>
      </w:r>
    </w:p>
    <w:tbl>
      <w:tblPr>
        <w:tblW w:w="7344" w:type="dxa"/>
        <w:jc w:val="left"/>
        <w:tblInd w:w="0" w:type="dxa"/>
        <w:tblBorders/>
        <w:tblCellMar>
          <w:top w:w="28" w:type="dxa"/>
          <w:left w:w="28" w:type="dxa"/>
          <w:bottom w:w="28" w:type="dxa"/>
          <w:right w:w="28" w:type="dxa"/>
        </w:tblCellMar>
        <w:tblLook w:firstRow="1" w:noVBand="1" w:lastRow="0" w:firstColumn="1" w:lastColumn="0" w:noHBand="0" w:val="04a0"/>
      </w:tblPr>
      <w:tblGrid>
        <w:gridCol w:w="3152"/>
        <w:gridCol w:w="2615"/>
        <w:gridCol w:w="1577"/>
      </w:tblGrid>
      <w:tr>
        <w:trPr/>
        <w:tc>
          <w:tcPr>
            <w:tcW w:w="3152" w:type="dxa"/>
            <w:tcBorders/>
            <w:shd w:fill="auto" w:val="clear"/>
            <w:vAlign w:val="center"/>
          </w:tcPr>
          <w:p>
            <w:pPr>
              <w:pStyle w:val="Tabelleninhalt"/>
              <w:suppressLineNumbers/>
              <w:spacing w:before="0" w:after="160"/>
              <w:rPr/>
            </w:pPr>
            <w:r>
              <w:rPr>
                <w:rStyle w:val="Starkbetont"/>
              </w:rPr>
              <w:t>Empfängerkategorien</w:t>
            </w:r>
          </w:p>
        </w:tc>
        <w:tc>
          <w:tcPr>
            <w:tcW w:w="2615" w:type="dxa"/>
            <w:tcBorders/>
            <w:shd w:fill="auto" w:val="clear"/>
            <w:vAlign w:val="center"/>
          </w:tcPr>
          <w:p>
            <w:pPr>
              <w:pStyle w:val="Tabelleninhalt"/>
              <w:suppressLineNumbers/>
              <w:spacing w:before="0" w:after="160"/>
              <w:rPr/>
            </w:pPr>
            <w:r>
              <w:rPr>
                <w:rStyle w:val="Starkbetont"/>
              </w:rPr>
              <w:t>Drittstaat</w:t>
              <w:br/>
              <w:t>(d.h. Staaten außerhalb der EU)</w:t>
            </w:r>
          </w:p>
        </w:tc>
        <w:tc>
          <w:tcPr>
            <w:tcW w:w="1577" w:type="dxa"/>
            <w:tcBorders/>
            <w:shd w:fill="auto" w:val="clear"/>
            <w:vAlign w:val="center"/>
          </w:tcPr>
          <w:p>
            <w:pPr>
              <w:pStyle w:val="Tabelleninhalt"/>
              <w:suppressLineNumbers/>
              <w:spacing w:before="0" w:after="160"/>
              <w:rPr/>
            </w:pPr>
            <w:r>
              <w:rPr>
                <w:rStyle w:val="Starkbetont"/>
              </w:rPr>
              <w:t>Internationale Organisation</w:t>
            </w:r>
          </w:p>
        </w:tc>
      </w:tr>
      <w:tr>
        <w:trPr/>
        <w:tc>
          <w:tcPr>
            <w:tcW w:w="3152" w:type="dxa"/>
            <w:tcBorders/>
            <w:shd w:fill="auto" w:val="clear"/>
            <w:vAlign w:val="center"/>
          </w:tcPr>
          <w:p>
            <w:pPr>
              <w:pStyle w:val="Tabelleninhalt"/>
              <w:suppressLineNumbers/>
              <w:spacing w:before="0" w:after="160"/>
              <w:rPr/>
            </w:pPr>
            <w:r>
              <w:rPr/>
              <w:t>1.Rechtsvertreter im Anlassfall</w:t>
            </w:r>
          </w:p>
        </w:tc>
        <w:tc>
          <w:tcPr>
            <w:tcW w:w="2615" w:type="dxa"/>
            <w:tcBorders/>
            <w:shd w:fill="auto" w:val="clear"/>
            <w:vAlign w:val="center"/>
          </w:tcPr>
          <w:p>
            <w:pPr>
              <w:pStyle w:val="Tabelleninhalt"/>
              <w:suppressLineNumbers/>
              <w:spacing w:before="0" w:after="160"/>
              <w:rPr/>
            </w:pPr>
            <w:r>
              <w:rPr/>
              <w:t>Nein</w:t>
            </w:r>
          </w:p>
        </w:tc>
        <w:tc>
          <w:tcPr>
            <w:tcW w:w="1577" w:type="dxa"/>
            <w:tcBorders/>
            <w:shd w:fill="auto" w:val="clear"/>
            <w:vAlign w:val="center"/>
          </w:tcPr>
          <w:p>
            <w:pPr>
              <w:pStyle w:val="Tabelleninhalt"/>
              <w:suppressLineNumbers/>
              <w:spacing w:before="0" w:after="160"/>
              <w:rPr/>
            </w:pPr>
            <w:r>
              <w:rPr/>
              <w:t>Nein</w:t>
            </w:r>
          </w:p>
        </w:tc>
      </w:tr>
      <w:tr>
        <w:trPr/>
        <w:tc>
          <w:tcPr>
            <w:tcW w:w="3152" w:type="dxa"/>
            <w:tcBorders/>
            <w:shd w:fill="auto" w:val="clear"/>
            <w:vAlign w:val="center"/>
          </w:tcPr>
          <w:p>
            <w:pPr>
              <w:pStyle w:val="Tabelleninhalt"/>
              <w:suppressLineNumbers/>
              <w:spacing w:before="0" w:after="160"/>
              <w:rPr/>
            </w:pPr>
            <w:r>
              <w:rPr/>
              <w:t>2.Gericht im Anlassfall</w:t>
            </w:r>
          </w:p>
        </w:tc>
        <w:tc>
          <w:tcPr>
            <w:tcW w:w="2615" w:type="dxa"/>
            <w:tcBorders/>
            <w:shd w:fill="auto" w:val="clear"/>
            <w:vAlign w:val="center"/>
          </w:tcPr>
          <w:p>
            <w:pPr>
              <w:pStyle w:val="Tabelleninhalt"/>
              <w:suppressLineNumbers/>
              <w:spacing w:before="0" w:after="160"/>
              <w:rPr/>
            </w:pPr>
            <w:r>
              <w:rPr/>
              <w:t>Nein</w:t>
            </w:r>
          </w:p>
        </w:tc>
        <w:tc>
          <w:tcPr>
            <w:tcW w:w="1577" w:type="dxa"/>
            <w:tcBorders/>
            <w:shd w:fill="auto" w:val="clear"/>
            <w:vAlign w:val="center"/>
          </w:tcPr>
          <w:p>
            <w:pPr>
              <w:pStyle w:val="Tabelleninhalt"/>
              <w:suppressLineNumbers/>
              <w:spacing w:before="0" w:after="160"/>
              <w:rPr/>
            </w:pPr>
            <w:r>
              <w:rPr/>
              <w:t>Nein</w:t>
            </w:r>
          </w:p>
        </w:tc>
      </w:tr>
      <w:tr>
        <w:trPr/>
        <w:tc>
          <w:tcPr>
            <w:tcW w:w="3152" w:type="dxa"/>
            <w:tcBorders/>
            <w:shd w:fill="auto" w:val="clear"/>
            <w:vAlign w:val="center"/>
          </w:tcPr>
          <w:p>
            <w:pPr>
              <w:pStyle w:val="Tabelleninhalt"/>
              <w:suppressLineNumbers/>
              <w:spacing w:before="0" w:after="160"/>
              <w:rPr/>
            </w:pPr>
            <w:r>
              <w:rPr/>
              <w:t>3. Externer Newsletter-Tool-Anbieter</w:t>
            </w:r>
          </w:p>
        </w:tc>
        <w:tc>
          <w:tcPr>
            <w:tcW w:w="2615" w:type="dxa"/>
            <w:tcBorders/>
            <w:shd w:fill="auto" w:val="clear"/>
            <w:vAlign w:val="center"/>
          </w:tcPr>
          <w:p>
            <w:pPr>
              <w:pStyle w:val="Tabelleninhalt"/>
              <w:suppressLineNumbers/>
              <w:spacing w:before="0" w:after="160"/>
              <w:rPr>
                <w:highlight w:val="yellow"/>
              </w:rPr>
            </w:pPr>
            <w:r>
              <w:rPr>
                <w:highlight w:val="yellow"/>
              </w:rPr>
              <w:t>?</w:t>
            </w:r>
          </w:p>
        </w:tc>
        <w:tc>
          <w:tcPr>
            <w:tcW w:w="1577" w:type="dxa"/>
            <w:tcBorders/>
            <w:shd w:fill="auto" w:val="clear"/>
            <w:vAlign w:val="center"/>
          </w:tcPr>
          <w:p>
            <w:pPr>
              <w:pStyle w:val="Tabelleninhalt"/>
              <w:suppressLineNumbers/>
              <w:spacing w:before="0" w:after="160"/>
              <w:rPr/>
            </w:pPr>
            <w:r>
              <w:rPr/>
              <w:t>Nein</w:t>
            </w:r>
          </w:p>
        </w:tc>
      </w:tr>
      <w:tr>
        <w:trPr/>
        <w:tc>
          <w:tcPr>
            <w:tcW w:w="3152" w:type="dxa"/>
            <w:tcBorders/>
            <w:shd w:fill="auto" w:val="clear"/>
            <w:vAlign w:val="center"/>
          </w:tcPr>
          <w:p>
            <w:pPr>
              <w:pStyle w:val="Tabelleninhalt"/>
              <w:spacing w:before="0" w:after="160"/>
              <w:rPr>
                <w:sz w:val="4"/>
                <w:szCs w:val="4"/>
              </w:rPr>
            </w:pPr>
            <w:r>
              <w:rPr>
                <w:sz w:val="4"/>
                <w:szCs w:val="4"/>
              </w:rPr>
            </w:r>
          </w:p>
        </w:tc>
        <w:tc>
          <w:tcPr>
            <w:tcW w:w="2615" w:type="dxa"/>
            <w:tcBorders/>
            <w:shd w:fill="auto" w:val="clear"/>
            <w:vAlign w:val="center"/>
          </w:tcPr>
          <w:p>
            <w:pPr>
              <w:pStyle w:val="Tabelleninhalt"/>
              <w:spacing w:before="0" w:after="160"/>
              <w:rPr>
                <w:sz w:val="4"/>
                <w:szCs w:val="4"/>
              </w:rPr>
            </w:pPr>
            <w:r>
              <w:rPr>
                <w:sz w:val="4"/>
                <w:szCs w:val="4"/>
              </w:rPr>
            </w:r>
          </w:p>
        </w:tc>
        <w:tc>
          <w:tcPr>
            <w:tcW w:w="1577" w:type="dxa"/>
            <w:tcBorders/>
            <w:shd w:fill="auto" w:val="clear"/>
            <w:vAlign w:val="center"/>
          </w:tcPr>
          <w:p>
            <w:pPr>
              <w:pStyle w:val="Tabelleninhalt"/>
              <w:spacing w:before="0" w:after="160"/>
              <w:rPr>
                <w:sz w:val="4"/>
                <w:szCs w:val="4"/>
              </w:rPr>
            </w:pPr>
            <w:r>
              <w:rPr>
                <w:sz w:val="4"/>
                <w:szCs w:val="4"/>
              </w:rPr>
            </w:r>
          </w:p>
        </w:tc>
      </w:tr>
    </w:tbl>
    <w:p>
      <w:pPr>
        <w:pStyle w:val="Textkrper"/>
        <w:rPr/>
      </w:pPr>
      <w:r>
        <w:rPr>
          <w:rStyle w:val="Starkbetont"/>
        </w:rPr>
        <w:br/>
        <w:t xml:space="preserve">Es erfolgt keine Übermittlung an Drittstaaten, </w:t>
        <w:br/>
      </w:r>
      <w:r>
        <w:rPr>
          <w:rStyle w:val="Starkbetont"/>
          <w:highlight w:val="lightGray"/>
        </w:rPr>
        <w:t xml:space="preserve">wenn Sie es mit Ihrem Emailprogramm selber machen, </w:t>
      </w:r>
    </w:p>
    <w:p>
      <w:pPr>
        <w:pStyle w:val="Textkrper"/>
        <w:rPr/>
      </w:pPr>
      <w:r>
        <w:rPr>
          <w:rStyle w:val="Starkbetont"/>
          <w:highlight w:val="yellow"/>
        </w:rPr>
        <w:t xml:space="preserve">Ansonsten schauen Sie bitte im Vertrag mit dem Newsletter-Tool-Anbieter nach (siehe Pkt. 4) </w:t>
      </w:r>
      <w:r>
        <w:rPr>
          <w:rStyle w:val="Starkbetont"/>
          <w:b w:val="false"/>
          <w:bCs w:val="false"/>
        </w:rPr>
        <w:t xml:space="preserve">Eine sehr gute Liste der DSGVO-konformen Newsletter-Tool-Anbieter findet Sie hier: </w:t>
      </w:r>
      <w:hyperlink r:id="rId16">
        <w:r>
          <w:rPr>
            <w:rStyle w:val="Starkbetont"/>
            <w:b w:val="false"/>
            <w:bCs w:val="false"/>
          </w:rPr>
          <w:t>https://www.blogmojo.de/adv-vertraege/</w:t>
        </w:r>
      </w:hyperlink>
      <w:r>
        <w:rPr>
          <w:rStyle w:val="Starkbetont"/>
          <w:b w:val="false"/>
          <w:bCs w:val="false"/>
        </w:rPr>
        <w:t xml:space="preserve">    , die Ihnen auch gleich Datenverarbeitungsverträge zum Downloaden fürs Archiv anbieten, </w:t>
      </w:r>
    </w:p>
    <w:p>
      <w:pPr>
        <w:pStyle w:val="Berschrift4"/>
        <w:numPr>
          <w:ilvl w:val="3"/>
          <w:numId w:val="2"/>
        </w:numPr>
        <w:rPr/>
      </w:pPr>
      <w:r>
        <w:rPr/>
        <w:t>zusätzliche TOMs: E-Mail-Marketing – Recht auf Widerspruch (Art 21 DSGVO)</w:t>
      </w:r>
    </w:p>
    <w:p>
      <w:pPr>
        <w:pStyle w:val="Textkrper"/>
        <w:rPr/>
      </w:pPr>
      <w:r>
        <w:rPr/>
        <w:t xml:space="preserve">Vorab beachte ich Name des Verantwortlichen  die sogenannte Robinson-Liste und setzte ein Hackerl bei „Keine Zusendungen von Werbematerial, Newsletter erwünscht“ für alle natürlichen und juristischen Personen, die in dieser Liste ausdrücklich auf die Zusendung von Werbematerial sowie Werbemails verzichten, siehe </w:t>
      </w:r>
      <w:hyperlink r:id="rId17">
        <w:r>
          <w:rPr>
            <w:rStyle w:val="Internetverknpfung"/>
          </w:rPr>
          <w:t>https://www.rtr.at/de/tk/TKKS_ECGListe</w:t>
        </w:r>
      </w:hyperlink>
      <w:r>
        <w:rPr/>
        <w:br/>
        <w:t xml:space="preserve">Referenz: </w:t>
      </w:r>
      <w:hyperlink r:id="rId18">
        <w:r>
          <w:rPr>
            <w:rStyle w:val="Internetverknpfung"/>
          </w:rPr>
          <w:t>§ 7 E-Commerce-Gesetz (ECG)</w:t>
        </w:r>
      </w:hyperlink>
    </w:p>
    <w:p>
      <w:pPr>
        <w:pStyle w:val="Textkrper"/>
        <w:rPr/>
      </w:pPr>
      <w:r>
        <w:rPr/>
        <w:t xml:space="preserve">Die Newsletter-Abonnenten, die ihre </w:t>
      </w:r>
      <w:r>
        <w:rPr>
          <w:color w:val="CE181E"/>
        </w:rPr>
        <w:t>klare Einwilligung nach Art 4 DSGVO nachweislich</w:t>
      </w:r>
      <w:r>
        <w:rPr/>
        <w:t xml:space="preserve"> abgegeben haben, werden hinreichend sowohl über Zweck, Art und Umfang der Datenverarbeitung als auch über ihre Rechte als Betroffene wie Recht auf Information, auf Auskunft und Richtigstellung, Widerspruchsrecht, auf Löschung und Einschränkung im E-Mail-Newsletter informiert.</w:t>
        <w:br/>
        <w:t>Darüber hinaus gibt es in jedem E-Mail-Newsletter die einfache und rasche Möglichkeit für den Betroffenen, sich vom E-Mail-Newsletter abzumelden (mit einem automatisierten Email, dass er von der Newsletter-Liste gelöscht wurde) und einen Hinweis auf meine Datenschutzerklärung als Link.</w:t>
      </w:r>
    </w:p>
    <w:p>
      <w:pPr>
        <w:pStyle w:val="Textkrper"/>
        <w:rPr/>
      </w:pPr>
      <w:r>
        <w:rPr/>
        <w:t>Sollte dieses Mail-Newsletter-Tool von einem Dritten bereitgestellt sein, so gibt es dazu eine Vereinbarung mit diesem Auftragsverarbeiter nach Art 28 DSGVO.</w:t>
      </w:r>
    </w:p>
    <w:p>
      <w:pPr>
        <w:pStyle w:val="Textkrper"/>
        <w:rPr/>
      </w:pPr>
      <w:r>
        <w:rPr/>
        <w:t xml:space="preserve">Individuelles Tracking der Newsletter, auch über eine Übermittlungs- bzw. Lesebestätigung, </w:t>
      </w:r>
      <w:r>
        <w:rPr>
          <w:rStyle w:val="Starkbetont"/>
        </w:rPr>
        <w:t>wird nicht gemacht,</w:t>
      </w:r>
      <w:r>
        <w:rPr/>
        <w:t xml:space="preserve"> da dafür eine eigene Einwilligungserklärung notwendig ist.</w:t>
      </w:r>
    </w:p>
    <w:p>
      <w:pPr>
        <w:pStyle w:val="Textkrper"/>
        <w:rPr/>
      </w:pPr>
      <w:r>
        <w:rPr/>
        <w:t xml:space="preserve">Macht ein Betroffener seine Rechte auf Widerspruch nicht mit Hilfe des Links im Newsletter geltend, sondern in einer anderen Form, sei es z. B. mündlich, schriftlich. per Email (insbesondere </w:t>
      </w:r>
      <w:hyperlink r:id="rId19">
        <w:r>
          <w:rPr>
            <w:rStyle w:val="Internetverknpfung"/>
          </w:rPr>
          <w:t>datenschutz@………</w:t>
        </w:r>
      </w:hyperlink>
      <w:r>
        <w:rPr/>
        <w:t>..) so gilt folgendes:</w:t>
      </w:r>
    </w:p>
    <w:p>
      <w:pPr>
        <w:pStyle w:val="Textkrper"/>
        <w:rPr/>
      </w:pPr>
      <w:r>
        <w:rPr/>
        <w:t>Sollte der Betroffene mir nicht persönlich bekannt sein, so muss ich zwecks Vermeidung einer Datenschutzverletzung die Identität des Antragsstellers (Betroffenen) feststellen:</w:t>
      </w:r>
    </w:p>
    <w:p>
      <w:pPr>
        <w:pStyle w:val="Textkrper"/>
        <w:rPr/>
      </w:pPr>
      <w:r>
        <w:rPr/>
        <w:t>„</w:t>
      </w:r>
      <w:r>
        <w:rPr/>
        <w:t>Sehr geehrte Frau/Herr …… !</w:t>
        <w:br/>
        <w:t>Da ich Sie leider noch nicht persönlich kennen lernen durfte, bitte ich Sie, um keine Datenschutzverletzung zu machen wie z. B. personenbezogen Daten an eine falsche Person weiterzuleiten, mir eine Kopie/Scann Ihres Personalausweises/Reisepasses zukommen zu lassen. Der Scann/Kopie wird sogleich nach Identitätsfeststellung gelöscht.</w:t>
        <w:br/>
        <w:t>Ich danke Ihnen für Ihr Verständnis“</w:t>
      </w:r>
    </w:p>
    <w:p>
      <w:pPr>
        <w:pStyle w:val="Textkrper"/>
        <w:numPr>
          <w:ilvl w:val="0"/>
          <w:numId w:val="34"/>
        </w:numPr>
        <w:tabs>
          <w:tab w:val="left" w:pos="0" w:leader="none"/>
        </w:tabs>
        <w:spacing w:before="0" w:after="0"/>
        <w:rPr/>
      </w:pPr>
      <w:r>
        <w:rPr/>
        <w:t xml:space="preserve">Identität kann nicht zweifelsfrei festgestellt werden und der Betroffene meldet sich trotz Information darüber nicht mehr: =&gt; Keine Aktivitäten meinerseits sind notwendig. </w:t>
      </w:r>
    </w:p>
    <w:p>
      <w:pPr>
        <w:pStyle w:val="Textkrper"/>
        <w:numPr>
          <w:ilvl w:val="0"/>
          <w:numId w:val="34"/>
        </w:numPr>
        <w:tabs>
          <w:tab w:val="left" w:pos="0" w:leader="none"/>
        </w:tabs>
        <w:rPr/>
      </w:pPr>
      <w:r>
        <w:rPr/>
        <w:t>Identität zweifelsfrei festgestellt und Verlangen ist rechtens</w:t>
        <w:br/>
        <w:t>=&gt; Der Betroffene bekommt betreffs Recht auf Widerspruch (Art 15 DSGVO) ehest möglich folgende Antworten:„Sehr geehrte Frau/Herr ……!</w:t>
        <w:br/>
        <w:t xml:space="preserve">Gemäß Ihrem Wunsch habe ich Sie hiermit von der Newsletter-Verteiler-Liste gelöscht. Sie erhalten keinen Newsletter oder Werbezusendungen von mir mehr.“ </w:t>
      </w:r>
    </w:p>
    <w:p>
      <w:pPr>
        <w:pStyle w:val="Textkrper"/>
        <w:rPr/>
      </w:pPr>
      <w:r>
        <w:rPr>
          <w:rStyle w:val="Betont"/>
        </w:rPr>
        <w:t>Referenzen: Art 4, Art 8, Art 9 DSGVO; Erwägungsgründe: 26ff, 51ff; § 4 Abs 4 DSG 2018; Recht auf Widerspruch Art 21 DSGVO</w:t>
      </w:r>
    </w:p>
    <w:p>
      <w:pPr>
        <w:pStyle w:val="Normal"/>
        <w:rPr/>
      </w:pPr>
      <w:r>
        <w:rPr/>
      </w:r>
    </w:p>
    <w:p>
      <w:pPr>
        <w:pStyle w:val="Normal"/>
        <w:rPr/>
      </w:pPr>
      <w:r>
        <w:rPr/>
      </w:r>
    </w:p>
    <w:p>
      <w:pPr>
        <w:pStyle w:val="Normal"/>
        <w:rPr/>
      </w:pPr>
      <w:r>
        <w:rPr/>
      </w:r>
    </w:p>
    <w:p>
      <w:pPr>
        <w:pStyle w:val="Berschrift2"/>
        <w:numPr>
          <w:ilvl w:val="1"/>
          <w:numId w:val="4"/>
        </w:numPr>
        <w:rPr/>
      </w:pPr>
      <w:bookmarkStart w:id="1345" w:name="__RefHeading___Toc31907_1491107819"/>
      <w:bookmarkStart w:id="1346" w:name="_Toc517698089"/>
      <w:bookmarkEnd w:id="1345"/>
      <w:r>
        <w:rPr/>
        <w:t>Muster: Einwilligungserklärung für Newsletter</w:t>
      </w:r>
      <w:bookmarkEnd w:id="1346"/>
    </w:p>
    <w:p>
      <w:pPr>
        <w:pStyle w:val="Textkrper"/>
        <w:rPr>
          <w:rStyle w:val="Starkbetont"/>
        </w:rPr>
      </w:pPr>
      <w:r>
        <w:rPr/>
      </w:r>
    </w:p>
    <w:p>
      <w:pPr>
        <w:pStyle w:val="Textkrper"/>
        <w:rPr/>
      </w:pPr>
      <w:r>
        <w:rPr>
          <w:rStyle w:val="Starkbetont"/>
        </w:rPr>
        <w:t>Zweck</w:t>
      </w:r>
      <w:r>
        <w:rPr/>
        <w:t>: Als Psychotherapeut/in unter der Verpflichtung, bei Werbung und Ankündigungen in der Öffentlichkeit fachlichen Gesichtspunkten strikt den Vorrang vor kommerziellen Gesichtspunkten einzuräumen, ist der Zweck der Werbung oder Ankündigungen zB per Newsletter auf das sachlich Gebotene beschränkt. Daher beinhalten meine Newsletter und Ankündigungen nur ausreichende Information über Art und Umfang der angebotenen Leistungen (Therapie, Supervision, Coaching, Teamberatung, Workshops, Seminare, Fort- und Weiterbildung,…und Veranstaltungen, für die die Teilnehmer Fort-/Weiterbildungs-Bestätigungen bekommen) sowie über die geforderten Entgelte und die Rechte der Klienten bzw Aus-/Fortzubildenden.</w:t>
      </w:r>
    </w:p>
    <w:p>
      <w:pPr>
        <w:pStyle w:val="Textkrper"/>
        <w:rPr/>
      </w:pPr>
      <w:r>
        <w:rPr/>
        <w:t xml:space="preserve">Vorab zur werten Kenntnisnahme meine Datenschutzerklärung: </w:t>
      </w:r>
      <w:r>
        <w:rPr>
          <w:highlight w:val="yellow"/>
        </w:rPr>
        <w:t>www. …homepage…at /datenschutz</w:t>
      </w:r>
    </w:p>
    <w:p>
      <w:pPr>
        <w:pStyle w:val="Textkrper"/>
        <w:rPr/>
      </w:pPr>
      <w:r>
        <w:rPr>
          <w:i/>
        </w:rPr>
        <w:t>Hinweise:</w:t>
      </w:r>
      <w:r>
        <w:rPr/>
        <w:br/>
        <w:t>Ihre E-Mail-Adresse wird nur für den Zweck der Erbringung dieses Newsletters verwendet. Ihre E-Mail-Adresse wird aber niemals für Werbezwecke an Dritte weitergegeben.</w:t>
      </w:r>
    </w:p>
    <w:p>
      <w:pPr>
        <w:pStyle w:val="Textkrper"/>
        <w:rPr/>
      </w:pPr>
      <w:r>
        <w:rPr/>
        <w:t xml:space="preserve">Ja, ich stimme dem Erhalt eines E-Mail Newsletters von </w:t>
      </w:r>
      <w:r>
        <w:rPr>
          <w:highlight w:val="yellow"/>
        </w:rPr>
        <w:t xml:space="preserve">(Psychotherapeut/in) </w:t>
      </w:r>
      <w:r>
        <w:rPr/>
        <w:t>gesendet an folgende</w:t>
      </w:r>
    </w:p>
    <w:p>
      <w:pPr>
        <w:pStyle w:val="Textkrper"/>
        <w:rPr/>
      </w:pPr>
      <w:r>
        <w:rPr/>
        <w:t>E-Mail-Adresse: ………………….</w:t>
      </w:r>
    </w:p>
    <w:p>
      <w:pPr>
        <w:pStyle w:val="Textkrper"/>
        <w:rPr/>
      </w:pPr>
      <w:r>
        <w:rPr/>
        <w:t>und Namen: ………………………..</w:t>
      </w:r>
    </w:p>
    <w:p>
      <w:pPr>
        <w:pStyle w:val="Textkrper"/>
        <w:rPr/>
      </w:pPr>
      <w:r>
        <w:rPr/>
        <w:t xml:space="preserve">zu. Ich kann diese Einwilligung jederzeit per Email </w:t>
      </w:r>
      <w:r>
        <w:rPr>
          <w:highlight w:val="yellow"/>
        </w:rPr>
        <w:t xml:space="preserve">(Ihr Email) </w:t>
      </w:r>
      <w:r>
        <w:rPr/>
        <w:t>und auch bei jedem Erhalt des Newsletters direkt dort und einfach widerrufen (Recht auf Widerspruch - Art 21 DSGVO).</w:t>
      </w:r>
    </w:p>
    <w:p>
      <w:pPr>
        <w:pStyle w:val="Textkrper"/>
        <w:rPr/>
      </w:pPr>
      <w:r>
        <w:rPr/>
      </w:r>
    </w:p>
    <w:p>
      <w:pPr>
        <w:pStyle w:val="Textkrper"/>
        <w:rPr>
          <w:highlight w:val="yellow"/>
        </w:rPr>
      </w:pPr>
      <w:r>
        <w:rPr>
          <w:highlight w:val="yellow"/>
        </w:rPr>
        <w:t>Ihr Name/Anschritft/Email als Verantwortliche/r</w:t>
      </w:r>
    </w:p>
    <w:p>
      <w:pPr>
        <w:pStyle w:val="Textkrper"/>
        <w:keepLines/>
        <w:numPr>
          <w:ilvl w:val="0"/>
          <w:numId w:val="0"/>
        </w:numPr>
        <w:outlineLvl w:val="1"/>
        <w:rPr/>
      </w:pPr>
      <w:r>
        <w:rPr/>
      </w:r>
      <w:r>
        <w:br w:type="page"/>
      </w:r>
    </w:p>
    <w:p>
      <w:pPr>
        <w:pStyle w:val="Berschrift2"/>
        <w:numPr>
          <w:ilvl w:val="1"/>
          <w:numId w:val="4"/>
        </w:numPr>
        <w:rPr/>
      </w:pPr>
      <w:bookmarkStart w:id="1347" w:name="__RefHeading___Toc31909_1491107819"/>
      <w:bookmarkStart w:id="1348" w:name="_Toc517698090"/>
      <w:bookmarkEnd w:id="1347"/>
      <w:r>
        <w:rPr/>
        <w:t>Muster: Auskunftserteilung</w:t>
      </w:r>
      <w:bookmarkEnd w:id="1348"/>
    </w:p>
    <w:p>
      <w:pPr>
        <w:pStyle w:val="Textkrper"/>
        <w:rPr/>
      </w:pPr>
      <w:r>
        <w:rPr/>
        <w:t>Sehr geehrte/r Frau/Herr …….!</w:t>
      </w:r>
    </w:p>
    <w:p>
      <w:pPr>
        <w:pStyle w:val="Textkrper"/>
        <w:rPr/>
      </w:pPr>
      <w:r>
        <w:rPr/>
        <w:t>Gemäß Ihrer Anfrage vom ……………………  erteilen wir Ihnen hiermit Auskunft über:</w:t>
      </w:r>
    </w:p>
    <w:p>
      <w:pPr>
        <w:pStyle w:val="Textkrper"/>
        <w:numPr>
          <w:ilvl w:val="0"/>
          <w:numId w:val="35"/>
        </w:numPr>
        <w:tabs>
          <w:tab w:val="left" w:pos="0" w:leader="none"/>
        </w:tabs>
        <w:rPr/>
      </w:pPr>
      <w:r>
        <w:rPr/>
        <w:t xml:space="preserve">den Zwecke und Rechtsgrundlagen der Datenverarbeitung: </w:t>
      </w:r>
    </w:p>
    <w:p>
      <w:pPr>
        <w:pStyle w:val="Textkrper"/>
        <w:rPr/>
      </w:pPr>
      <w:r>
        <w:rPr/>
        <w:t> </w:t>
      </w:r>
    </w:p>
    <w:p>
      <w:pPr>
        <w:pStyle w:val="Textkrper"/>
        <w:rPr/>
      </w:pPr>
      <w:r>
        <w:rPr/>
        <w:t> </w:t>
      </w:r>
    </w:p>
    <w:p>
      <w:pPr>
        <w:pStyle w:val="Textkrper"/>
        <w:numPr>
          <w:ilvl w:val="0"/>
          <w:numId w:val="36"/>
        </w:numPr>
        <w:tabs>
          <w:tab w:val="left" w:pos="0" w:leader="none"/>
        </w:tabs>
        <w:rPr/>
      </w:pPr>
      <w:r>
        <w:rPr/>
        <w:t xml:space="preserve">die personenbezogener Daten von Ihnen, die ich/wir verarbeite/n: </w:t>
      </w:r>
    </w:p>
    <w:p>
      <w:pPr>
        <w:pStyle w:val="Textkrper"/>
        <w:rPr/>
      </w:pPr>
      <w:r>
        <w:rPr/>
        <w:t> </w:t>
      </w:r>
    </w:p>
    <w:p>
      <w:pPr>
        <w:pStyle w:val="Textkrper"/>
        <w:rPr/>
      </w:pPr>
      <w:r>
        <w:rPr/>
        <w:t> </w:t>
      </w:r>
    </w:p>
    <w:p>
      <w:pPr>
        <w:pStyle w:val="Textkrper"/>
        <w:numPr>
          <w:ilvl w:val="0"/>
          <w:numId w:val="37"/>
        </w:numPr>
        <w:tabs>
          <w:tab w:val="left" w:pos="0" w:leader="none"/>
        </w:tabs>
        <w:rPr/>
      </w:pPr>
      <w:r>
        <w:rPr/>
        <w:t xml:space="preserve">die Empfänger/Empfängerkreise: </w:t>
      </w:r>
    </w:p>
    <w:p>
      <w:pPr>
        <w:pStyle w:val="Textkrper"/>
        <w:rPr/>
      </w:pPr>
      <w:r>
        <w:rPr/>
        <w:t> </w:t>
      </w:r>
    </w:p>
    <w:p>
      <w:pPr>
        <w:pStyle w:val="Textkrper"/>
        <w:rPr/>
      </w:pPr>
      <w:r>
        <w:rPr/>
        <w:t> </w:t>
      </w:r>
    </w:p>
    <w:p>
      <w:pPr>
        <w:pStyle w:val="Textkrper"/>
        <w:numPr>
          <w:ilvl w:val="0"/>
          <w:numId w:val="38"/>
        </w:numPr>
        <w:tabs>
          <w:tab w:val="left" w:pos="0" w:leader="none"/>
        </w:tabs>
        <w:rPr/>
      </w:pPr>
      <w:r>
        <w:rPr/>
        <w:t xml:space="preserve">die Dauer der Speicherung: </w:t>
      </w:r>
    </w:p>
    <w:p>
      <w:pPr>
        <w:pStyle w:val="Textkrper"/>
        <w:rPr/>
      </w:pPr>
      <w:r>
        <w:rPr/>
        <w:t> </w:t>
      </w:r>
    </w:p>
    <w:p>
      <w:pPr>
        <w:pStyle w:val="Textkrper"/>
        <w:rPr/>
      </w:pPr>
      <w:r>
        <w:rPr/>
        <w:t> </w:t>
      </w:r>
    </w:p>
    <w:p>
      <w:pPr>
        <w:pStyle w:val="Textkrper"/>
        <w:numPr>
          <w:ilvl w:val="0"/>
          <w:numId w:val="39"/>
        </w:numPr>
        <w:tabs>
          <w:tab w:val="left" w:pos="0" w:leader="none"/>
        </w:tabs>
        <w:rPr/>
      </w:pPr>
      <w:r>
        <w:rPr/>
        <w:t xml:space="preserve">die Herkunft der Daten (falls nicht bei der Person erhoben): </w:t>
      </w:r>
    </w:p>
    <w:p>
      <w:pPr>
        <w:pStyle w:val="Textkrper"/>
        <w:rPr/>
      </w:pPr>
      <w:r>
        <w:rPr/>
        <w:t> </w:t>
      </w:r>
    </w:p>
    <w:p>
      <w:pPr>
        <w:pStyle w:val="Textkrper"/>
        <w:rPr/>
      </w:pPr>
      <w:r>
        <w:rPr/>
        <w:t> </w:t>
      </w:r>
    </w:p>
    <w:p>
      <w:pPr>
        <w:pStyle w:val="Textkrper"/>
        <w:numPr>
          <w:ilvl w:val="0"/>
          <w:numId w:val="40"/>
        </w:numPr>
        <w:tabs>
          <w:tab w:val="left" w:pos="0" w:leader="none"/>
        </w:tabs>
        <w:spacing w:before="0" w:after="0"/>
        <w:rPr/>
      </w:pPr>
      <w:r>
        <w:rPr/>
        <w:t>Eine automatisierten Entscheidungsfindung/Profiling findet nicht statt.</w:t>
        <w:br/>
      </w:r>
    </w:p>
    <w:p>
      <w:pPr>
        <w:pStyle w:val="Textkrper"/>
        <w:numPr>
          <w:ilvl w:val="0"/>
          <w:numId w:val="40"/>
        </w:numPr>
        <w:tabs>
          <w:tab w:val="left" w:pos="0" w:leader="none"/>
        </w:tabs>
        <w:rPr/>
      </w:pPr>
      <w:r>
        <w:rPr/>
        <w:t xml:space="preserve">Sie haben das Recht auf Berichtigung, Löschung und Einschränkung der Verarbeitung der Daten sowie ein Widerspruchsrecht gegen die Verarbeitung der Daten und das Recht auf Datenübertragbarkeit. Sie haben das Recht auf Beschwerde bei der Aufsichtsbehörde. </w:t>
      </w:r>
    </w:p>
    <w:p>
      <w:pPr>
        <w:pStyle w:val="Textkrper"/>
        <w:rPr/>
      </w:pPr>
      <w:r>
        <w:rPr/>
        <w:t>Betreffs dem Verzeichnis „Klientenverwaltung und Dokumentation“ gilt das Recht auf Auskunft (Art 15 DSGVO) nur in Verbindung mit Recht auf Einsicht gemäß §16a (2) Psychotherapiegesetz: „</w:t>
      </w:r>
      <w:r>
        <w:rPr>
          <w:rStyle w:val="Betont"/>
        </w:rPr>
        <w:t>Dem Behandelten oder seinem gesetzlichen Vertreter sind unter besonderer Bedachtnahme auf die therapeutische Beziehung auf Verlangen alle Auskünfte über die gemäß Abs.1 geführte Dokumentation sowie Einsicht in die Dokumentation zu gewähren oder gegen Kostenersatz die Herstellung von Abschriften zu ermöglichen, soweit diese das Vertrauensverhältnis zum Behandelten nicht gefährden.</w:t>
      </w:r>
      <w:r>
        <w:rPr/>
        <w:t>“</w:t>
      </w:r>
    </w:p>
    <w:p>
      <w:pPr>
        <w:pStyle w:val="Textkrper"/>
        <w:rPr>
          <w:highlight w:val="yellow"/>
        </w:rPr>
      </w:pPr>
      <w:r>
        <w:rPr>
          <w:highlight w:val="yellow"/>
        </w:rPr>
        <w:t>Ihre Kontaktdaten als Verantwortliche/r</w:t>
      </w:r>
    </w:p>
    <w:p>
      <w:pPr>
        <w:pStyle w:val="Textkrper"/>
        <w:rPr/>
      </w:pPr>
      <w:r>
        <w:rPr/>
      </w:r>
      <w:r>
        <w:br w:type="page"/>
      </w:r>
    </w:p>
    <w:p>
      <w:pPr>
        <w:pStyle w:val="Berschrift2"/>
        <w:numPr>
          <w:ilvl w:val="1"/>
          <w:numId w:val="4"/>
        </w:numPr>
        <w:rPr/>
      </w:pPr>
      <w:bookmarkStart w:id="1349" w:name="__RefHeading___Toc31911_1491107819"/>
      <w:bookmarkStart w:id="1350" w:name="_Toc511051852"/>
      <w:bookmarkStart w:id="1351" w:name="_Toc507067711"/>
      <w:bookmarkStart w:id="1352" w:name="_Toc513203966"/>
      <w:bookmarkStart w:id="1353" w:name="_Toc514867381"/>
      <w:bookmarkStart w:id="1354" w:name="_Toc517698091"/>
      <w:bookmarkStart w:id="1355" w:name="_Toc505854404"/>
      <w:bookmarkStart w:id="1356" w:name="_Toc505585801"/>
      <w:bookmarkStart w:id="1357" w:name="_Toc505255132"/>
      <w:bookmarkStart w:id="1358" w:name="_Toc505068779"/>
      <w:bookmarkStart w:id="1359" w:name="_Toc504472843"/>
      <w:bookmarkStart w:id="1360" w:name="_Toc504155929"/>
      <w:bookmarkStart w:id="1361" w:name="_Toc505870302"/>
      <w:bookmarkStart w:id="1362" w:name="_Toc505870292"/>
      <w:bookmarkEnd w:id="1349"/>
      <w:bookmarkEnd w:id="1362"/>
      <w:r>
        <w:rPr/>
        <w:t xml:space="preserve">Muster: Verpflichtungserklärung zum Datengeheimnis und zur Wahrung </w:t>
      </w:r>
      <w:bookmarkEnd w:id="1355"/>
      <w:bookmarkEnd w:id="1356"/>
      <w:bookmarkEnd w:id="1357"/>
      <w:bookmarkEnd w:id="1358"/>
      <w:bookmarkEnd w:id="1359"/>
      <w:bookmarkEnd w:id="1360"/>
      <w:bookmarkEnd w:id="1361"/>
      <w:r>
        <w:rPr/>
        <w:t>von Geschäfts- und Betriebsgeheimnissen (WKO)</w:t>
      </w:r>
      <w:bookmarkEnd w:id="1350"/>
      <w:bookmarkEnd w:id="1351"/>
      <w:bookmarkEnd w:id="1352"/>
      <w:bookmarkEnd w:id="1353"/>
      <w:bookmarkEnd w:id="1354"/>
    </w:p>
    <w:tbl>
      <w:tblPr>
        <w:tblW w:w="8931" w:type="dxa"/>
        <w:jc w:val="center"/>
        <w:tblInd w:w="0" w:type="dxa"/>
        <w:tblBorders/>
        <w:tblCellMar>
          <w:top w:w="0" w:type="dxa"/>
          <w:left w:w="70" w:type="dxa"/>
          <w:bottom w:w="0" w:type="dxa"/>
          <w:right w:w="70" w:type="dxa"/>
        </w:tblCellMar>
        <w:tblLook w:firstRow="0" w:noVBand="0" w:lastRow="0" w:firstColumn="0" w:lastColumn="0" w:noHBand="0" w:val="0000"/>
      </w:tblPr>
      <w:tblGrid>
        <w:gridCol w:w="2410"/>
        <w:gridCol w:w="6520"/>
      </w:tblGrid>
      <w:tr>
        <w:trPr>
          <w:trHeight w:val="456" w:hRule="atLeast"/>
        </w:trPr>
        <w:tc>
          <w:tcPr>
            <w:tcW w:w="8930" w:type="dxa"/>
            <w:gridSpan w:val="2"/>
            <w:tcBorders/>
            <w:shd w:fill="auto" w:val="clear"/>
          </w:tcPr>
          <w:p>
            <w:pPr>
              <w:pStyle w:val="Normal"/>
              <w:widowControl/>
              <w:bidi w:val="0"/>
              <w:spacing w:before="0" w:after="160"/>
              <w:jc w:val="left"/>
              <w:textAlignment w:val="baseline"/>
              <w:rPr/>
            </w:pPr>
            <w:r>
              <w:rPr/>
              <w:t>Diese Verpflichtungserklärung betrifft:</w:t>
            </w:r>
          </w:p>
        </w:tc>
      </w:tr>
      <w:tr>
        <w:trPr>
          <w:trHeight w:val="534" w:hRule="atLeast"/>
        </w:trPr>
        <w:tc>
          <w:tcPr>
            <w:tcW w:w="2410" w:type="dxa"/>
            <w:tcBorders>
              <w:top w:val="single" w:sz="4" w:space="0" w:color="00000A"/>
              <w:bottom w:val="single" w:sz="4" w:space="0" w:color="00000A"/>
              <w:insideH w:val="single" w:sz="4" w:space="0" w:color="00000A"/>
            </w:tcBorders>
            <w:shd w:fill="auto" w:val="clear"/>
          </w:tcPr>
          <w:p>
            <w:pPr>
              <w:pStyle w:val="Normal"/>
              <w:widowControl/>
              <w:bidi w:val="0"/>
              <w:spacing w:before="0" w:after="160"/>
              <w:jc w:val="left"/>
              <w:textAlignment w:val="baseline"/>
              <w:rPr>
                <w:b/>
                <w:b/>
              </w:rPr>
            </w:pPr>
            <w:r>
              <w:rPr>
                <w:b/>
              </w:rPr>
              <w:t>Familienname:</w:t>
            </w:r>
          </w:p>
        </w:tc>
        <w:tc>
          <w:tcPr>
            <w:tcW w:w="6520" w:type="dxa"/>
            <w:tcBorders>
              <w:top w:val="single" w:sz="4" w:space="0" w:color="00000A"/>
              <w:bottom w:val="single" w:sz="4" w:space="0" w:color="00000A"/>
              <w:insideH w:val="single" w:sz="4" w:space="0" w:color="00000A"/>
            </w:tcBorders>
            <w:shd w:fill="auto" w:val="clear"/>
          </w:tcPr>
          <w:p>
            <w:pPr>
              <w:pStyle w:val="Normal"/>
              <w:spacing w:before="0" w:after="160"/>
              <w:rPr>
                <w:rFonts w:cs="Calibri"/>
                <w:b/>
                <w:b/>
              </w:rPr>
            </w:pPr>
            <w:r>
              <w:rPr>
                <w:rFonts w:cs="Calibri"/>
                <w:b/>
              </w:rPr>
            </w:r>
          </w:p>
        </w:tc>
      </w:tr>
      <w:tr>
        <w:trPr>
          <w:trHeight w:val="83" w:hRule="atLeast"/>
        </w:trPr>
        <w:tc>
          <w:tcPr>
            <w:tcW w:w="2410" w:type="dxa"/>
            <w:tcBorders>
              <w:top w:val="single" w:sz="4" w:space="0" w:color="00000A"/>
              <w:bottom w:val="single" w:sz="4" w:space="0" w:color="00000A"/>
              <w:insideH w:val="single" w:sz="4" w:space="0" w:color="00000A"/>
            </w:tcBorders>
            <w:shd w:fill="auto" w:val="clear"/>
          </w:tcPr>
          <w:p>
            <w:pPr>
              <w:pStyle w:val="Normal"/>
              <w:widowControl/>
              <w:bidi w:val="0"/>
              <w:spacing w:before="0" w:after="160"/>
              <w:jc w:val="left"/>
              <w:textAlignment w:val="baseline"/>
              <w:rPr>
                <w:b/>
                <w:b/>
              </w:rPr>
            </w:pPr>
            <w:r>
              <w:rPr>
                <w:b/>
              </w:rPr>
              <w:t>Vornamen:</w:t>
            </w:r>
          </w:p>
        </w:tc>
        <w:tc>
          <w:tcPr>
            <w:tcW w:w="6520" w:type="dxa"/>
            <w:tcBorders>
              <w:top w:val="single" w:sz="4" w:space="0" w:color="00000A"/>
              <w:bottom w:val="single" w:sz="4" w:space="0" w:color="00000A"/>
              <w:insideH w:val="single" w:sz="4" w:space="0" w:color="00000A"/>
            </w:tcBorders>
            <w:shd w:fill="auto" w:val="clear"/>
          </w:tcPr>
          <w:p>
            <w:pPr>
              <w:pStyle w:val="Normal"/>
              <w:spacing w:before="0" w:after="160"/>
              <w:rPr>
                <w:rFonts w:cs="Calibri"/>
                <w:b/>
                <w:b/>
              </w:rPr>
            </w:pPr>
            <w:r>
              <w:rPr>
                <w:rFonts w:cs="Calibri"/>
                <w:b/>
              </w:rPr>
            </w:r>
          </w:p>
        </w:tc>
      </w:tr>
    </w:tbl>
    <w:p>
      <w:pPr>
        <w:pStyle w:val="Normal"/>
        <w:tabs>
          <w:tab w:val="left" w:pos="5620" w:leader="none"/>
        </w:tabs>
        <w:jc w:val="both"/>
        <w:rPr>
          <w:sz w:val="24"/>
        </w:rPr>
      </w:pPr>
      <w:r>
        <w:rPr>
          <w:sz w:val="24"/>
        </w:rPr>
        <w:tab/>
      </w:r>
    </w:p>
    <w:p>
      <w:pPr>
        <w:pStyle w:val="Normal"/>
        <w:rPr>
          <w:sz w:val="24"/>
          <w:szCs w:val="24"/>
        </w:rPr>
      </w:pPr>
      <w:r>
        <w:rPr>
          <w:sz w:val="24"/>
          <w:szCs w:val="24"/>
        </w:rPr>
        <w:t xml:space="preserve">In Ausübung Ihrer </w:t>
      </w:r>
      <w:r>
        <w:rPr>
          <w:color w:val="000000"/>
          <w:sz w:val="24"/>
          <w:szCs w:val="24"/>
          <w:highlight w:val="yellow"/>
        </w:rPr>
        <w:t>beruflichen Tätigkeit bzw. Ausbildung zB als Praktikant/in</w:t>
      </w:r>
      <w:r>
        <w:rPr>
          <w:sz w:val="24"/>
          <w:szCs w:val="24"/>
        </w:rPr>
        <w:t xml:space="preserve"> erhalten Sie voraussichtlich Kenntnis über teilweise sehr sensible personenbezogene Daten sowie Geschäfts- und Betriebsgeheimnisse. Alle diese Informationen sind absolut vertraulich zu behandeln und unterliegen den Bestimmungen des österreichischen und europäischen Datenschutzrechts sowie des Wettbewerbsrechts.</w:t>
      </w:r>
    </w:p>
    <w:p>
      <w:pPr>
        <w:pStyle w:val="Normal"/>
        <w:jc w:val="both"/>
        <w:rPr>
          <w:rFonts w:cs="Calibri"/>
        </w:rPr>
      </w:pPr>
      <w:r>
        <w:rPr>
          <w:rFonts w:cs="Calibri"/>
          <w:sz w:val="24"/>
          <w:szCs w:val="24"/>
        </w:rPr>
        <w:t>Mit Ihrer Unterschrift verpflichten Sie sich,</w:t>
      </w:r>
    </w:p>
    <w:p>
      <w:pPr>
        <w:pStyle w:val="Normal"/>
        <w:numPr>
          <w:ilvl w:val="0"/>
          <w:numId w:val="28"/>
        </w:numPr>
        <w:rPr>
          <w:rFonts w:cs="Calibri"/>
        </w:rPr>
      </w:pPr>
      <w:r>
        <w:rPr>
          <w:rFonts w:cs="Calibri"/>
          <w:sz w:val="24"/>
          <w:szCs w:val="24"/>
        </w:rPr>
        <w:t>das Datenschutzrecht zu wahren, insbesondere § 6 DSG, einschließlich entsprechender betrieblicher Anordnungen;</w:t>
      </w:r>
    </w:p>
    <w:p>
      <w:pPr>
        <w:pStyle w:val="Normal"/>
        <w:numPr>
          <w:ilvl w:val="0"/>
          <w:numId w:val="10"/>
        </w:numPr>
        <w:jc w:val="both"/>
        <w:rPr>
          <w:rFonts w:cs="Calibri"/>
        </w:rPr>
      </w:pPr>
      <w:r>
        <w:rPr>
          <w:rFonts w:cs="Calibri"/>
          <w:sz w:val="24"/>
          <w:szCs w:val="24"/>
        </w:rPr>
        <w:t>Geschäfts- und Betriebsgeheimnisse zu wahren (§ 11 UWG);</w:t>
      </w:r>
    </w:p>
    <w:p>
      <w:pPr>
        <w:pStyle w:val="Normal"/>
        <w:numPr>
          <w:ilvl w:val="0"/>
          <w:numId w:val="10"/>
        </w:numPr>
        <w:rPr>
          <w:sz w:val="24"/>
          <w:szCs w:val="24"/>
        </w:rPr>
      </w:pPr>
      <w:r>
        <w:rPr>
          <w:rFonts w:cs="Calibri"/>
          <w:sz w:val="24"/>
          <w:szCs w:val="24"/>
        </w:rPr>
        <w:t xml:space="preserve">bei einem Verstoß gegen das Datengeheimnis oder eine Verletzung von Geschäfts- und Betriebsgeheimnissen, Schadenersatz zu leisten, und zwar ohne Rücksicht auf den tatsächlich eingetretenen Schaden durch Vereinbarung einer Konventionalstrafe pauschaliert, und zwar im Ausmaß von </w:t>
      </w:r>
      <w:r>
        <w:rPr>
          <w:highlight w:val="yellow"/>
        </w:rPr>
        <w:t>3-fachen Bruttomonatsentgelten/Kooperationsvereinbarung/Werkvertrag/ oder x.000,- Euro</w:t>
      </w:r>
    </w:p>
    <w:p>
      <w:pPr>
        <w:pStyle w:val="Normal"/>
        <w:jc w:val="both"/>
        <w:rPr>
          <w:rFonts w:cs="Calibri"/>
        </w:rPr>
      </w:pPr>
      <w:r>
        <w:rPr>
          <w:rFonts w:cs="Calibri"/>
          <w:sz w:val="24"/>
          <w:szCs w:val="24"/>
        </w:rPr>
        <w:t>Die zitierten Bestimmungen sind im Anhang zu dieser Erklärung abgedruckt.</w:t>
      </w:r>
    </w:p>
    <w:p>
      <w:pPr>
        <w:pStyle w:val="Normal"/>
        <w:spacing w:before="120" w:after="160"/>
        <w:rPr>
          <w:rFonts w:cs="Calibri"/>
        </w:rPr>
      </w:pPr>
      <w:bookmarkStart w:id="1363" w:name="__RefHeading___Toc24036_2257849036"/>
      <w:bookmarkEnd w:id="1363"/>
      <w:r>
        <w:rPr>
          <w:rFonts w:cs="Calibri"/>
          <w:sz w:val="24"/>
          <w:szCs w:val="24"/>
        </w:rPr>
        <w:t>Ihnen ist bekannt, dass</w:t>
      </w:r>
    </w:p>
    <w:p>
      <w:pPr>
        <w:pStyle w:val="Normal"/>
        <w:numPr>
          <w:ilvl w:val="0"/>
          <w:numId w:val="29"/>
        </w:numPr>
        <w:spacing w:before="120" w:after="160"/>
        <w:rPr>
          <w:rFonts w:cs="Calibri"/>
        </w:rPr>
      </w:pPr>
      <w:r>
        <w:rPr>
          <w:rFonts w:cs="Calibri"/>
          <w:sz w:val="24"/>
          <w:szCs w:val="24"/>
        </w:rPr>
        <w:t>die personenbezogenen Daten natürlicher wie juristischer Personen einem besonderen Schutz unterliegen und die Verwendung solcher Daten nur unter besonderen Voraussetzungen zulässig ist;</w:t>
      </w:r>
    </w:p>
    <w:p>
      <w:pPr>
        <w:pStyle w:val="Normal"/>
        <w:numPr>
          <w:ilvl w:val="0"/>
          <w:numId w:val="11"/>
        </w:numPr>
        <w:spacing w:before="120" w:after="160"/>
        <w:rPr>
          <w:rFonts w:cs="Calibri"/>
        </w:rPr>
      </w:pPr>
      <w:r>
        <w:rPr>
          <w:rFonts w:cs="Calibri"/>
          <w:sz w:val="24"/>
          <w:szCs w:val="24"/>
        </w:rPr>
        <w:t>personenbezogene Daten, die Ihnen auf Grund Ihrer beruflichen Beschäftigung anvertraut oder zugänglich gemacht wurden, nur auf Grund einer ausdrücklichen Anordnung des jeweiligen Vorgesetzten übermittelt werden dürfen;</w:t>
      </w:r>
    </w:p>
    <w:p>
      <w:pPr>
        <w:pStyle w:val="Normal"/>
        <w:numPr>
          <w:ilvl w:val="0"/>
          <w:numId w:val="11"/>
        </w:numPr>
        <w:spacing w:before="120" w:after="160"/>
        <w:rPr>
          <w:rFonts w:cs="Calibri"/>
        </w:rPr>
      </w:pPr>
      <w:r>
        <w:rPr>
          <w:rFonts w:cs="Calibri"/>
          <w:sz w:val="24"/>
          <w:szCs w:val="24"/>
        </w:rPr>
        <w:t>es untersagt ist, Daten an unbefugte Empfänger innerhalb und außerhalb des Unternehmens zu übermitteln oder sonst zugänglich zu machen;</w:t>
      </w:r>
    </w:p>
    <w:p>
      <w:pPr>
        <w:pStyle w:val="Normal"/>
        <w:numPr>
          <w:ilvl w:val="0"/>
          <w:numId w:val="11"/>
        </w:numPr>
        <w:spacing w:before="120" w:after="160"/>
        <w:rPr>
          <w:rFonts w:cs="Calibri"/>
        </w:rPr>
      </w:pPr>
      <w:r>
        <w:rPr>
          <w:rFonts w:cs="Calibri"/>
          <w:sz w:val="24"/>
          <w:szCs w:val="24"/>
        </w:rPr>
        <w:t>es untersagt ist, sich unbefugt Daten zu beschaffen oder zu verarbeiten;</w:t>
      </w:r>
    </w:p>
    <w:p>
      <w:pPr>
        <w:pStyle w:val="Normal"/>
        <w:numPr>
          <w:ilvl w:val="0"/>
          <w:numId w:val="11"/>
        </w:numPr>
        <w:spacing w:before="120" w:after="160"/>
        <w:rPr>
          <w:rFonts w:cs="Calibri"/>
        </w:rPr>
      </w:pPr>
      <w:r>
        <w:rPr>
          <w:rFonts w:cs="Calibri"/>
          <w:sz w:val="24"/>
          <w:szCs w:val="24"/>
        </w:rPr>
        <w:t>es untersagt ist, personenbezogene Daten zu einem anderen als dem zum rechtmäßigen Aufgabenvollzug gehörenden Zweck zu verwenden;</w:t>
      </w:r>
    </w:p>
    <w:p>
      <w:pPr>
        <w:pStyle w:val="Normal"/>
        <w:numPr>
          <w:ilvl w:val="0"/>
          <w:numId w:val="11"/>
        </w:numPr>
        <w:spacing w:before="120" w:after="160"/>
        <w:rPr>
          <w:rFonts w:cs="Calibri"/>
        </w:rPr>
      </w:pPr>
      <w:r>
        <w:rPr>
          <w:rFonts w:cs="Calibri"/>
          <w:sz w:val="24"/>
          <w:szCs w:val="24"/>
        </w:rPr>
        <w:t>anvertraute Benutzerkennwörter, Passwörter und sonstige Zugangsberechtigungen sorgfältig verwahrt und geheim zu halten sind;</w:t>
      </w:r>
    </w:p>
    <w:p>
      <w:pPr>
        <w:pStyle w:val="Normal"/>
        <w:numPr>
          <w:ilvl w:val="0"/>
          <w:numId w:val="11"/>
        </w:numPr>
        <w:spacing w:before="120" w:after="160"/>
        <w:rPr>
          <w:rFonts w:cs="Calibri"/>
        </w:rPr>
      </w:pPr>
      <w:r>
        <w:rPr>
          <w:rFonts w:cs="Calibri"/>
          <w:sz w:val="24"/>
          <w:szCs w:val="24"/>
        </w:rPr>
        <w:t>allfällige weiterreichende andere Bestimmungen über die Geheimhaltungspflichten ebenfalls zu beachten sind;</w:t>
      </w:r>
    </w:p>
    <w:p>
      <w:pPr>
        <w:pStyle w:val="Normal"/>
        <w:numPr>
          <w:ilvl w:val="0"/>
          <w:numId w:val="11"/>
        </w:numPr>
        <w:spacing w:before="120" w:after="160"/>
        <w:rPr>
          <w:rFonts w:cs="Calibri"/>
        </w:rPr>
      </w:pPr>
      <w:r>
        <w:rPr>
          <w:rFonts w:cs="Calibri"/>
          <w:sz w:val="24"/>
          <w:szCs w:val="24"/>
        </w:rPr>
        <w:t>diese Verpflichtung auch nach Beendigung Ihrer Tätigkeit fortbesteht;</w:t>
      </w:r>
    </w:p>
    <w:p>
      <w:pPr>
        <w:pStyle w:val="Normal"/>
        <w:numPr>
          <w:ilvl w:val="0"/>
          <w:numId w:val="11"/>
        </w:numPr>
        <w:spacing w:before="120" w:after="160"/>
        <w:rPr>
          <w:rFonts w:cs="Calibri"/>
        </w:rPr>
      </w:pPr>
      <w:r>
        <w:rPr>
          <w:rFonts w:cs="Calibri"/>
          <w:sz w:val="24"/>
          <w:szCs w:val="24"/>
        </w:rPr>
        <w:t>Verstöße gegen die hier genannten Verschwiegenheitsverpflichtungen nicht nur arbeitsrechtliche Folgen, sondern auch (verwaltungs-)strafrechtliche Folgen haben und schadenersatzpflichtig machen.</w:t>
      </w:r>
    </w:p>
    <w:p>
      <w:pPr>
        <w:pStyle w:val="Normal"/>
        <w:rPr>
          <w:sz w:val="24"/>
          <w:szCs w:val="24"/>
        </w:rPr>
      </w:pPr>
      <w:r>
        <w:rPr>
          <w:rFonts w:cs="Calibri"/>
          <w:sz w:val="24"/>
          <w:szCs w:val="24"/>
        </w:rPr>
        <w:t xml:space="preserve">Hiermit erkläre ich, am </w:t>
      </w:r>
      <w:r>
        <w:rPr>
          <w:highlight w:val="yellow"/>
        </w:rPr>
        <w:t>[Datum der Belehrung]</w:t>
      </w:r>
      <w:r>
        <w:rPr/>
        <w:t xml:space="preserve"> von </w:t>
      </w:r>
      <w:r>
        <w:rPr>
          <w:highlight w:val="yellow"/>
        </w:rPr>
        <w:t>[Titel / Name Therapeut/in ]</w:t>
      </w:r>
      <w:r>
        <w:rPr/>
        <w:t xml:space="preserve"> über das Datengeheimnis nach § 6 </w:t>
      </w:r>
      <w:r>
        <w:rPr>
          <w:rFonts w:cs="Calibri"/>
          <w:sz w:val="24"/>
          <w:szCs w:val="24"/>
        </w:rPr>
        <w:t>DSG und die Verschwiegenheitsverpflichtungen nach § 11 UWG belehrt worden zu sein.</w:t>
      </w:r>
    </w:p>
    <w:p>
      <w:pPr>
        <w:pStyle w:val="Normal"/>
        <w:jc w:val="both"/>
        <w:rPr>
          <w:rFonts w:cs="Calibri"/>
          <w:sz w:val="24"/>
          <w:szCs w:val="24"/>
        </w:rPr>
      </w:pPr>
      <w:r>
        <w:rPr>
          <w:rFonts w:cs="Calibri"/>
          <w:sz w:val="24"/>
          <w:szCs w:val="24"/>
        </w:rPr>
      </w:r>
    </w:p>
    <w:tbl>
      <w:tblPr>
        <w:tblW w:w="9214" w:type="dxa"/>
        <w:jc w:val="center"/>
        <w:tblInd w:w="0" w:type="dxa"/>
        <w:tblBorders>
          <w:top w:val="single" w:sz="4" w:space="0" w:color="00000A"/>
        </w:tblBorders>
        <w:tblCellMar>
          <w:top w:w="0" w:type="dxa"/>
          <w:left w:w="70" w:type="dxa"/>
          <w:bottom w:w="0" w:type="dxa"/>
          <w:right w:w="70" w:type="dxa"/>
        </w:tblCellMar>
        <w:tblLook w:firstRow="0" w:noVBand="0" w:lastRow="0" w:firstColumn="0" w:lastColumn="0" w:noHBand="0" w:val="0000"/>
      </w:tblPr>
      <w:tblGrid>
        <w:gridCol w:w="4184"/>
        <w:gridCol w:w="727"/>
        <w:gridCol w:w="4303"/>
      </w:tblGrid>
      <w:tr>
        <w:trPr>
          <w:trHeight w:val="83" w:hRule="atLeast"/>
        </w:trPr>
        <w:tc>
          <w:tcPr>
            <w:tcW w:w="4184" w:type="dxa"/>
            <w:tcBorders>
              <w:top w:val="single" w:sz="4" w:space="0" w:color="00000A"/>
            </w:tcBorders>
            <w:shd w:fill="auto" w:val="clear"/>
          </w:tcPr>
          <w:p>
            <w:pPr>
              <w:pStyle w:val="Normal"/>
              <w:spacing w:before="0" w:after="160"/>
              <w:jc w:val="center"/>
              <w:rPr>
                <w:rFonts w:cs="Calibri"/>
                <w:b/>
                <w:b/>
              </w:rPr>
            </w:pPr>
            <w:r>
              <w:rPr>
                <w:rFonts w:cs="Calibri"/>
                <w:b/>
                <w:sz w:val="24"/>
                <w:szCs w:val="24"/>
              </w:rPr>
              <w:t>Ort, Datum</w:t>
            </w:r>
          </w:p>
        </w:tc>
        <w:tc>
          <w:tcPr>
            <w:tcW w:w="727" w:type="dxa"/>
            <w:tcBorders>
              <w:top w:val="single" w:sz="4" w:space="0" w:color="00000A"/>
            </w:tcBorders>
            <w:shd w:fill="auto" w:val="clear"/>
          </w:tcPr>
          <w:p>
            <w:pPr>
              <w:pStyle w:val="Normal"/>
              <w:spacing w:before="0" w:after="160"/>
              <w:rPr>
                <w:rFonts w:cs="Calibri"/>
                <w:sz w:val="24"/>
                <w:szCs w:val="24"/>
              </w:rPr>
            </w:pPr>
            <w:r>
              <w:rPr>
                <w:rFonts w:cs="Calibri"/>
                <w:sz w:val="24"/>
                <w:szCs w:val="24"/>
              </w:rPr>
            </w:r>
          </w:p>
        </w:tc>
        <w:tc>
          <w:tcPr>
            <w:tcW w:w="4303" w:type="dxa"/>
            <w:tcBorders>
              <w:top w:val="single" w:sz="4" w:space="0" w:color="00000A"/>
            </w:tcBorders>
            <w:shd w:fill="auto" w:val="clear"/>
          </w:tcPr>
          <w:p>
            <w:pPr>
              <w:pStyle w:val="Normal"/>
              <w:spacing w:before="0" w:after="160"/>
              <w:jc w:val="center"/>
              <w:rPr>
                <w:rFonts w:cs="Calibri"/>
                <w:b/>
                <w:b/>
              </w:rPr>
            </w:pPr>
            <w:r>
              <w:rPr>
                <w:rFonts w:cs="Calibri"/>
                <w:b/>
                <w:sz w:val="24"/>
                <w:szCs w:val="24"/>
              </w:rPr>
              <w:t>Unterschrift des Verpflichteten</w:t>
            </w:r>
          </w:p>
        </w:tc>
      </w:tr>
    </w:tbl>
    <w:p>
      <w:pPr>
        <w:pStyle w:val="Normal"/>
        <w:rPr>
          <w:sz w:val="24"/>
          <w:szCs w:val="24"/>
        </w:rPr>
      </w:pPr>
      <w:r>
        <w:rPr>
          <w:sz w:val="24"/>
          <w:szCs w:val="24"/>
        </w:rPr>
      </w:r>
    </w:p>
    <w:p>
      <w:pPr>
        <w:pStyle w:val="Berschrift3"/>
        <w:numPr>
          <w:ilvl w:val="2"/>
          <w:numId w:val="4"/>
        </w:numPr>
        <w:rPr/>
      </w:pPr>
      <w:bookmarkStart w:id="1364" w:name="_Toc511051853"/>
      <w:r>
        <w:rPr/>
        <w:t>Anhang zum Datengeheimnis</w:t>
      </w:r>
      <w:bookmarkEnd w:id="1364"/>
    </w:p>
    <w:p>
      <w:pPr>
        <w:pStyle w:val="Normal"/>
        <w:jc w:val="center"/>
        <w:rPr/>
      </w:pPr>
      <w:bookmarkStart w:id="1365" w:name="_Toc505255134"/>
      <w:bookmarkStart w:id="1366" w:name="_Toc505068781"/>
      <w:bookmarkStart w:id="1367" w:name="_Toc504472845"/>
      <w:bookmarkStart w:id="1368" w:name="_Toc504155931"/>
      <w:bookmarkStart w:id="1369" w:name="_Toc503945481"/>
      <w:bookmarkStart w:id="1370" w:name="_Toc503862819"/>
      <w:bookmarkStart w:id="1371" w:name="_Toc503781254"/>
      <w:bookmarkStart w:id="1372" w:name="_Toc503285961"/>
      <w:bookmarkStart w:id="1373" w:name="_Toc503285726"/>
      <w:r>
        <w:rPr>
          <w:rFonts w:cs="Calibri"/>
          <w:b/>
          <w:sz w:val="24"/>
        </w:rPr>
        <w:t>Datengeheimnis nach § 6 DSG</w:t>
      </w:r>
    </w:p>
    <w:p>
      <w:pPr>
        <w:pStyle w:val="Normal"/>
        <w:rPr/>
      </w:pPr>
      <w:r>
        <w:rPr>
          <w:rFonts w:cs="Calibri"/>
          <w:b/>
          <w:sz w:val="24"/>
        </w:rPr>
        <w:t>(1)</w:t>
      </w:r>
      <w:r>
        <w:rPr>
          <w:rFonts w:cs="Calibri"/>
          <w:sz w:val="24"/>
        </w:rPr>
        <w:t> Der Verantwortliche, der Auftragsverarbeiter und ihre Mitarbeiter – das sind Arbeitnehmer (Dienstnehmer) und Personen in einem arbeitnehmerähnlichen (dienstnehmerähnlichen) Verhältnis – haben personenbezogene Daten aus Daten</w:t>
        <w:softHyphen/>
        <w:t>ver</w:t>
        <w:softHyphen/>
        <w:t>arbei</w:t>
        <w:softHyphen/>
        <w:t>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w:t>
        <w:softHyphen/>
        <w:t>bezogenen Daten besteht (Datengeheimnis).</w:t>
      </w:r>
    </w:p>
    <w:p>
      <w:pPr>
        <w:pStyle w:val="Normal"/>
        <w:rPr/>
      </w:pPr>
      <w:r>
        <w:rPr>
          <w:rFonts w:cs="Calibri"/>
          <w:b/>
          <w:sz w:val="24"/>
        </w:rPr>
        <w:t>(2)</w:t>
      </w:r>
      <w:r>
        <w:rPr>
          <w:rFonts w:cs="Calibri"/>
          <w:sz w:val="24"/>
        </w:rPr>
        <w:t>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w:t>
        <w:softHyphen/>
        <w:t>ver</w:t>
        <w:softHyphen/>
        <w:t>hältnisses) zum Verantwortlichen oder Auftragsverarbeiter einzuhalten.</w:t>
        <w:tab/>
      </w:r>
    </w:p>
    <w:p>
      <w:pPr>
        <w:pStyle w:val="Normal"/>
        <w:rPr/>
      </w:pPr>
      <w:r>
        <w:rPr>
          <w:rFonts w:cs="Calibri"/>
          <w:b/>
          <w:sz w:val="24"/>
        </w:rPr>
        <w:t>(3)</w:t>
      </w:r>
      <w:r>
        <w:rPr>
          <w:rFonts w:cs="Calibri"/>
          <w:sz w:val="24"/>
        </w:rPr>
        <w:t> Der Verantwortliche und der Auftragsverarbeiter haben die von der Anordnung betroffenen Mitarbeiter über die für sie geltenden Übermittlungsanordnungen und über die Folgen einer Verletzung des Datengeheimnisses zu belehren.</w:t>
        <w:tab/>
      </w:r>
    </w:p>
    <w:p>
      <w:pPr>
        <w:pStyle w:val="Normal"/>
        <w:rPr/>
      </w:pPr>
      <w:r>
        <w:rPr>
          <w:rFonts w:cs="Calibri"/>
          <w:b/>
          <w:bCs/>
          <w:sz w:val="24"/>
        </w:rPr>
        <w:t xml:space="preserve">(4) </w:t>
      </w:r>
      <w:r>
        <w:rPr>
          <w:rFonts w:cs="Calibri"/>
          <w:sz w:val="24"/>
        </w:rPr>
        <w:t>Unbeschadet des verfassungsrechtlichen Weisungsrechts darf einem Mitarbeiter aus der Verweigerung der Befolgung einer Anordnung zur unzulässigen Datenübermittlung kein Nachteil erwachsen.</w:t>
      </w:r>
    </w:p>
    <w:p>
      <w:pPr>
        <w:pStyle w:val="Normal"/>
        <w:rPr/>
      </w:pPr>
      <w:r>
        <w:rPr>
          <w:rFonts w:cs="Calibri"/>
          <w:b/>
          <w:sz w:val="24"/>
        </w:rPr>
        <w:t>(5)</w:t>
      </w:r>
      <w:r>
        <w:rPr>
          <w:rFonts w:cs="Calibri"/>
          <w:sz w:val="24"/>
        </w:rPr>
        <w:t> Ein zugunsten eines Verantwortlichen bestehendes gesetzliches Aussage</w:t>
        <w:softHyphen/>
        <w:t>ver</w:t>
        <w:softHyphen/>
        <w:t>weiger</w:t>
        <w:softHyphen/>
        <w:t>ungsrecht darf nicht durch die Inanspruchnahme eines für diesen tätigen Auftragsverarbeiters, insbesondere nicht durch die Sicherstellung oder Beschlagnahme von automationsunterstützt verarbeiteten Dokumenten, umgangen werden.</w:t>
      </w:r>
    </w:p>
    <w:p>
      <w:pPr>
        <w:pStyle w:val="Normal"/>
        <w:rPr>
          <w:rFonts w:cs="Calibri"/>
          <w:sz w:val="24"/>
        </w:rPr>
      </w:pPr>
      <w:r>
        <w:rPr>
          <w:rFonts w:cs="Calibri"/>
          <w:sz w:val="24"/>
        </w:rPr>
      </w:r>
    </w:p>
    <w:p>
      <w:pPr>
        <w:pStyle w:val="Normal"/>
        <w:jc w:val="center"/>
        <w:rPr>
          <w:rFonts w:cs="Calibri"/>
          <w:b/>
          <w:b/>
          <w:sz w:val="24"/>
        </w:rPr>
      </w:pPr>
      <w:r>
        <w:rPr>
          <w:rFonts w:cs="Calibri"/>
          <w:b/>
          <w:sz w:val="24"/>
        </w:rPr>
        <w:t xml:space="preserve">Verletzung von Geschäfts- oder Betriebsgeheimnissen und Missbrauch </w:t>
        <w:br/>
        <w:t>anvertrauter Vorlagen nach § 11 UWG</w:t>
      </w:r>
    </w:p>
    <w:p>
      <w:pPr>
        <w:pStyle w:val="Normal"/>
        <w:jc w:val="center"/>
        <w:rPr>
          <w:rFonts w:cs="Calibri"/>
          <w:b/>
          <w:b/>
          <w:sz w:val="24"/>
        </w:rPr>
      </w:pPr>
      <w:r>
        <w:rPr>
          <w:rFonts w:cs="Calibri"/>
          <w:b/>
          <w:sz w:val="24"/>
        </w:rPr>
      </w:r>
    </w:p>
    <w:p>
      <w:pPr>
        <w:pStyle w:val="Normal"/>
        <w:rPr/>
      </w:pPr>
      <w:r>
        <w:rPr>
          <w:rFonts w:cs="Calibri"/>
          <w:b/>
          <w:sz w:val="24"/>
        </w:rPr>
        <w:t>(1)</w:t>
      </w:r>
      <w:r>
        <w:rPr>
          <w:rFonts w:cs="Calibri"/>
          <w:sz w:val="24"/>
        </w:rPr>
        <w:t> 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tab/>
      </w:r>
    </w:p>
    <w:p>
      <w:pPr>
        <w:pStyle w:val="Normal"/>
        <w:rPr/>
      </w:pPr>
      <w:r>
        <w:rPr>
          <w:rFonts w:cs="Calibri"/>
          <w:b/>
          <w:sz w:val="24"/>
        </w:rPr>
        <w:t>(2)</w:t>
      </w:r>
      <w:r>
        <w:rPr>
          <w:rFonts w:cs="Calibri"/>
          <w:sz w:val="24"/>
        </w:rPr>
        <w:t> Die gleiche Strafe trifft den, der Geschäfts- oder Betriebsgeheimnisse, deren Kennt</w:t>
        <w:softHyphen/>
        <w:t>nis er durch eine der im Abs. 1 bezeichneten Mitteilungen oder durch eine gegen das Gesetz oder die guten Sitten verstoßende eigene Handlung erlangt hat, zu Zwecken des Wettbewerbes unbefugt verwertet oder an andere mitteilt.</w:t>
      </w:r>
    </w:p>
    <w:p>
      <w:pPr>
        <w:pStyle w:val="Normal"/>
        <w:spacing w:before="0" w:after="160"/>
        <w:jc w:val="both"/>
        <w:rPr/>
      </w:pPr>
      <w:r>
        <w:rPr>
          <w:rFonts w:cs="Calibri"/>
          <w:b/>
          <w:sz w:val="24"/>
        </w:rPr>
        <w:t>(3)</w:t>
      </w:r>
      <w:r>
        <w:rPr>
          <w:rFonts w:cs="Calibri"/>
          <w:sz w:val="24"/>
        </w:rPr>
        <w:t> Die Verfolgung findet nur auf Verlangen des Verletzten statt.</w:t>
      </w:r>
      <w:bookmarkEnd w:id="1151"/>
      <w:bookmarkEnd w:id="1152"/>
      <w:bookmarkEnd w:id="1365"/>
      <w:bookmarkEnd w:id="1366"/>
      <w:bookmarkEnd w:id="1367"/>
      <w:bookmarkEnd w:id="1368"/>
      <w:bookmarkEnd w:id="1369"/>
      <w:bookmarkEnd w:id="1370"/>
      <w:bookmarkEnd w:id="1371"/>
      <w:bookmarkEnd w:id="1372"/>
      <w:bookmarkEnd w:id="1373"/>
    </w:p>
    <w:sectPr>
      <w:footerReference w:type="default" r:id="rId20"/>
      <w:footnotePr>
        <w:numFmt w:val="decimal"/>
      </w:footnotePr>
      <w:type w:val="nextPage"/>
      <w:pgSz w:w="11906" w:h="16838"/>
      <w:pgMar w:left="1701" w:right="1701" w:header="0" w:top="1701" w:footer="720" w:bottom="170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Helvetica Neue Light">
    <w:charset w:val="00"/>
    <w:family w:val="roman"/>
    <w:pitch w:val="variable"/>
  </w:font>
  <w:font w:name="Cambri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Neue">
    <w:charset w:val="00"/>
    <w:family w:val="roman"/>
    <w:pitch w:val="variable"/>
  </w:font>
  <w:font w:name="Lucida Sans">
    <w:charset w:val="00"/>
    <w:family w:val="roman"/>
    <w:pitch w:val="variable"/>
  </w:font>
  <w:font w:name="Wingdings">
    <w:charset w:val="00"/>
    <w:family w:val="roman"/>
    <w:pitch w:val="variable"/>
  </w:font>
  <w:font w:name="sans-serif">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pPr>
    <w:r>
      <w:rPr/>
      <w:t>-</w:t>
    </w:r>
    <w:r>
      <w:rPr>
        <w:rStyle w:val="FuzeileZchn"/>
      </w:rPr>
      <w:fldChar w:fldCharType="begin"/>
    </w:r>
    <w:r>
      <w:rPr>
        <w:rStyle w:val="FuzeileZchn"/>
      </w:rPr>
      <w:instrText> PAGE </w:instrText>
    </w:r>
    <w:r>
      <w:rPr>
        <w:rStyle w:val="FuzeileZchn"/>
      </w:rPr>
      <w:fldChar w:fldCharType="separate"/>
    </w:r>
    <w:r>
      <w:rPr>
        <w:rStyle w:val="FuzeileZchn"/>
      </w:rPr>
      <w:t>48</w:t>
    </w:r>
    <w:r>
      <w:rPr>
        <w:rStyle w:val="FuzeileZchn"/>
      </w:rPr>
      <w:fldChar w:fldCharType="end"/>
    </w:r>
    <w:r>
      <w:rPr/>
      <w: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160"/>
        <w:rPr/>
      </w:pPr>
      <w:r>
        <w:rPr>
          <w:rStyle w:val="Funotenzeichen"/>
        </w:rPr>
        <w:footnoteRef/>
      </w:r>
      <w:r>
        <w:rPr>
          <w:rStyle w:val="Funotenzeichen"/>
        </w:rPr>
        <w:tab/>
      </w:r>
      <w:r>
        <w:rPr>
          <w:rStyle w:val="FootnoteCharacters"/>
        </w:rPr>
        <w:tab/>
        <w:tab/>
        <w:tab/>
        <w:tab/>
        <w:t xml:space="preserve"> </w:t>
      </w:r>
      <w:r>
        <w:rPr>
          <w:rFonts w:ascii="Times New Roman" w:hAnsi="Times New Roman"/>
          <w:i/>
          <w:iCs/>
          <w:color w:val="000000"/>
          <w:sz w:val="20"/>
          <w:szCs w:val="20"/>
        </w:rPr>
        <w:t xml:space="preserve">Die Verarbeitung personenbezogener Daten soll </w:t>
      </w:r>
      <w:r>
        <w:rPr>
          <w:rFonts w:ascii="Times New Roman" w:hAnsi="Times New Roman"/>
          <w:i/>
          <w:iCs/>
          <w:color w:val="000000"/>
          <w:sz w:val="20"/>
          <w:szCs w:val="20"/>
          <w:u w:val="single"/>
        </w:rPr>
        <w:t>nicht als umfangreich</w:t>
      </w:r>
      <w:r>
        <w:rPr>
          <w:rFonts w:ascii="Times New Roman" w:hAnsi="Times New Roman"/>
          <w:i/>
          <w:iCs/>
          <w:color w:val="000000"/>
          <w:sz w:val="20"/>
          <w:szCs w:val="20"/>
        </w:rPr>
        <w:t xml:space="preserve"> gelten, wenn die Verarbeitung personenbezogene Daten von Patienten oder von Mandanten betrifft und durch einen </w:t>
      </w:r>
      <w:r>
        <w:rPr>
          <w:rFonts w:ascii="Times New Roman" w:hAnsi="Times New Roman"/>
          <w:i/>
          <w:iCs/>
          <w:color w:val="000000"/>
          <w:sz w:val="20"/>
          <w:szCs w:val="20"/>
          <w:u w:val="single"/>
        </w:rPr>
        <w:t>einzelnen</w:t>
      </w:r>
      <w:r>
        <w:rPr>
          <w:rFonts w:ascii="Times New Roman" w:hAnsi="Times New Roman"/>
          <w:i/>
          <w:iCs/>
          <w:color w:val="000000"/>
          <w:sz w:val="20"/>
          <w:szCs w:val="20"/>
        </w:rPr>
        <w:t xml:space="preserve"> Arzt, sonstigen Angehörigen eines Gesundheitsberufes (</w:t>
      </w:r>
      <w:r>
        <w:rPr>
          <w:rFonts w:ascii="Times New Roman" w:hAnsi="Times New Roman"/>
          <w:i/>
          <w:iCs/>
          <w:color w:val="000000"/>
          <w:sz w:val="20"/>
          <w:szCs w:val="20"/>
          <w:u w:val="single"/>
        </w:rPr>
        <w:t>Psychotherapeuten</w:t>
      </w:r>
      <w:r>
        <w:rPr>
          <w:rFonts w:ascii="Times New Roman" w:hAnsi="Times New Roman"/>
          <w:i/>
          <w:iCs/>
          <w:color w:val="000000"/>
          <w:sz w:val="20"/>
          <w:szCs w:val="20"/>
        </w:rPr>
        <w:t>) oder Rechtsanwalt erfolgt. In diesen Fällen sollte eine Datenschutz- Folgenabschätzung nicht zwingend vorgeschrieben sein (Erwägungen 91).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decimal"/>
      <w:lvlText w:val="%1"/>
      <w:lvlJc w:val="left"/>
      <w:pPr>
        <w:ind w:left="432" w:hanging="432"/>
      </w:pPr>
    </w:lvl>
    <w:lvl w:ilvl="1">
      <w:start w:val="1"/>
      <w:pStyle w:val="Berschrift2"/>
      <w:numFmt w:val="decimal"/>
      <w:lvlText w:val="%1.%2"/>
      <w:lvlJc w:val="left"/>
      <w:pPr>
        <w:ind w:left="576" w:hanging="576"/>
      </w:pPr>
    </w:lvl>
    <w:lvl w:ilvl="2">
      <w:start w:val="1"/>
      <w:pStyle w:val="Berschrift3"/>
      <w:numFmt w:val="decimal"/>
      <w:lvlText w:val="%1.%2.%3"/>
      <w:lvlJc w:val="left"/>
      <w:pPr>
        <w:ind w:left="720" w:hanging="720"/>
      </w:pPr>
    </w:lvl>
    <w:lvl w:ilvl="3">
      <w:start w:val="1"/>
      <w:pStyle w:val="Berschrift4"/>
      <w:numFmt w:val="decimal"/>
      <w:lvlText w:val="%1.%2.%3.%4"/>
      <w:lvlJc w:val="left"/>
      <w:pPr>
        <w:ind w:left="864" w:hanging="864"/>
      </w:pPr>
    </w:lvl>
    <w:lvl w:ilvl="4">
      <w:start w:val="1"/>
      <w:pStyle w:val="Berschrift5"/>
      <w:numFmt w:val="decimal"/>
      <w:lvlText w:val="%1.%2.%3.%4.%5"/>
      <w:lvlJc w:val="left"/>
      <w:pPr>
        <w:ind w:left="1008" w:hanging="1008"/>
      </w:pPr>
    </w:lvl>
    <w:lvl w:ilvl="5">
      <w:start w:val="1"/>
      <w:pStyle w:val="Berschrift6"/>
      <w:numFmt w:val="decimal"/>
      <w:lvlText w:val="%1.%2.%3.%4.%5.%6"/>
      <w:lvlJc w:val="left"/>
      <w:pPr>
        <w:ind w:left="1152" w:hanging="1152"/>
      </w:pPr>
    </w:lvl>
    <w:lvl w:ilvl="6">
      <w:start w:val="1"/>
      <w:pStyle w:val="Berschrift7"/>
      <w:numFmt w:val="decimal"/>
      <w:lvlText w:val="%1.%2.%3.%4.%5.%6.%7"/>
      <w:lvlJc w:val="left"/>
      <w:pPr>
        <w:ind w:left="1296" w:hanging="1296"/>
      </w:pPr>
    </w:lvl>
    <w:lvl w:ilvl="7">
      <w:start w:val="1"/>
      <w:pStyle w:val="Berschrift8"/>
      <w:numFmt w:val="decimal"/>
      <w:lvlText w:val="%1.%2.%3.%4.%5.%6.%7.%8"/>
      <w:lvlJc w:val="left"/>
      <w:pPr>
        <w:ind w:left="1440" w:hanging="1440"/>
      </w:pPr>
    </w:lvl>
    <w:lvl w:ilvl="8">
      <w:start w:val="1"/>
      <w:pStyle w:val="Berschrift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ymbol" w:hAnsi="Symbol" w:cs="Symbol" w:hint="default"/>
        <w:sz w:val="20"/>
        <w:rFonts w:cs="Symbol"/>
      </w:rPr>
    </w:lvl>
    <w:lvl w:ilvl="1">
      <w:start w:val="1"/>
      <w:numFmt w:val="bullet"/>
      <w:lvlText w:val=""/>
      <w:lvlJc w:val="left"/>
      <w:pPr>
        <w:ind w:left="1080" w:hanging="360"/>
      </w:pPr>
      <w:rPr>
        <w:rFonts w:ascii="Symbol" w:hAnsi="Symbol" w:cs="Symbol" w:hint="default"/>
        <w:rFonts w:cs="Symbol"/>
      </w:rPr>
    </w:lvl>
    <w:lvl w:ilvl="2">
      <w:start w:val="1"/>
      <w:numFmt w:val="bullet"/>
      <w:lvlText w:val="o"/>
      <w:lvlJc w:val="left"/>
      <w:pPr>
        <w:ind w:left="1800" w:hanging="180"/>
      </w:pPr>
      <w:rPr>
        <w:rFonts w:ascii="Courier New" w:hAnsi="Courier New" w:cs="Courier New" w:hint="default"/>
        <w:rFonts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3">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4">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360" w:hanging="360"/>
      </w:pPr>
      <w:rPr>
        <w:rFonts w:ascii="Symbol" w:hAnsi="Symbol" w:cs="Symbol" w:hint="default"/>
        <w:rFonts w:cs="Symbol"/>
      </w:rPr>
    </w:lvl>
    <w:lvl w:ilvl="1">
      <w:start w:val="1"/>
      <w:numFmt w:val="bullet"/>
      <w:lvlText w:val=""/>
      <w:lvlJc w:val="left"/>
      <w:pPr>
        <w:ind w:left="1080" w:hanging="360"/>
      </w:pPr>
      <w:rPr>
        <w:rFonts w:ascii="Symbol" w:hAnsi="Symbol" w:cs="Symbol" w:hint="default"/>
        <w:rFonts w:cs="Symbol"/>
      </w:rPr>
    </w:lvl>
    <w:lvl w:ilvl="2">
      <w:start w:val="1"/>
      <w:numFmt w:val="bullet"/>
      <w:lvlText w:val="o"/>
      <w:lvlJc w:val="left"/>
      <w:pPr>
        <w:ind w:left="1800" w:hanging="180"/>
      </w:pPr>
      <w:rPr>
        <w:rFonts w:ascii="Courier New" w:hAnsi="Courier New" w:cs="Courier New" w:hint="default"/>
        <w:rFonts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lvl w:ilvl="0">
      <w:start w:val="1"/>
      <w:numFmt w:val="decimal"/>
      <w:lvlText w:val="(%1)"/>
      <w:lvlJc w:val="left"/>
      <w:pPr>
        <w:ind w:left="360" w:hanging="360"/>
      </w:pPr>
      <w:rPr>
        <w:i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0">
    <w:lvl w:ilvl="0">
      <w:start w:val="1"/>
      <w:numFmt w:val="bullet"/>
      <w:lvlText w:val=""/>
      <w:lvlJc w:val="left"/>
      <w:pPr>
        <w:tabs>
          <w:tab w:val="num" w:pos="1152"/>
        </w:tabs>
        <w:ind w:left="1152" w:hanging="360"/>
      </w:pPr>
      <w:rPr>
        <w:rFonts w:ascii="Symbol" w:hAnsi="Symbol" w:cs="Symbol" w:hint="default"/>
        <w:rFonts w:cs="OpenSymbol"/>
      </w:rPr>
    </w:lvl>
    <w:lvl w:ilvl="1">
      <w:start w:val="1"/>
      <w:numFmt w:val="bullet"/>
      <w:lvlText w:val="◦"/>
      <w:lvlJc w:val="left"/>
      <w:pPr>
        <w:tabs>
          <w:tab w:val="num" w:pos="1512"/>
        </w:tabs>
        <w:ind w:left="1512" w:hanging="360"/>
      </w:pPr>
      <w:rPr>
        <w:rFonts w:ascii="OpenSymbol" w:hAnsi="OpenSymbol" w:cs="OpenSymbol" w:hint="default"/>
        <w:rFonts w:cs="OpenSymbol"/>
      </w:rPr>
    </w:lvl>
    <w:lvl w:ilvl="2">
      <w:start w:val="1"/>
      <w:numFmt w:val="bullet"/>
      <w:lvlText w:val="▪"/>
      <w:lvlJc w:val="left"/>
      <w:pPr>
        <w:tabs>
          <w:tab w:val="num" w:pos="1872"/>
        </w:tabs>
        <w:ind w:left="1872" w:hanging="360"/>
      </w:pPr>
      <w:rPr>
        <w:rFonts w:ascii="OpenSymbol" w:hAnsi="OpenSymbol" w:cs="OpenSymbol" w:hint="default"/>
        <w:rFonts w:cs="OpenSymbol"/>
      </w:rPr>
    </w:lvl>
    <w:lvl w:ilvl="3">
      <w:start w:val="1"/>
      <w:numFmt w:val="bullet"/>
      <w:lvlText w:val=""/>
      <w:lvlJc w:val="left"/>
      <w:pPr>
        <w:tabs>
          <w:tab w:val="num" w:pos="2232"/>
        </w:tabs>
        <w:ind w:left="2232" w:hanging="360"/>
      </w:pPr>
      <w:rPr>
        <w:rFonts w:ascii="Symbol" w:hAnsi="Symbol" w:cs="Symbol" w:hint="default"/>
        <w:rFonts w:cs="OpenSymbol"/>
      </w:rPr>
    </w:lvl>
    <w:lvl w:ilvl="4">
      <w:start w:val="1"/>
      <w:numFmt w:val="bullet"/>
      <w:lvlText w:val="◦"/>
      <w:lvlJc w:val="left"/>
      <w:pPr>
        <w:tabs>
          <w:tab w:val="num" w:pos="2592"/>
        </w:tabs>
        <w:ind w:left="2592" w:hanging="360"/>
      </w:pPr>
      <w:rPr>
        <w:rFonts w:ascii="OpenSymbol" w:hAnsi="OpenSymbol" w:cs="OpenSymbol" w:hint="default"/>
        <w:rFonts w:cs="OpenSymbol"/>
      </w:rPr>
    </w:lvl>
    <w:lvl w:ilvl="5">
      <w:start w:val="1"/>
      <w:numFmt w:val="bullet"/>
      <w:lvlText w:val="▪"/>
      <w:lvlJc w:val="left"/>
      <w:pPr>
        <w:tabs>
          <w:tab w:val="num" w:pos="2952"/>
        </w:tabs>
        <w:ind w:left="2952" w:hanging="360"/>
      </w:pPr>
      <w:rPr>
        <w:rFonts w:ascii="OpenSymbol" w:hAnsi="OpenSymbol" w:cs="OpenSymbol" w:hint="default"/>
        <w:rFonts w:cs="OpenSymbol"/>
      </w:rPr>
    </w:lvl>
    <w:lvl w:ilvl="6">
      <w:start w:val="1"/>
      <w:numFmt w:val="bullet"/>
      <w:lvlText w:val=""/>
      <w:lvlJc w:val="left"/>
      <w:pPr>
        <w:tabs>
          <w:tab w:val="num" w:pos="3312"/>
        </w:tabs>
        <w:ind w:left="3312" w:hanging="360"/>
      </w:pPr>
      <w:rPr>
        <w:rFonts w:ascii="Symbol" w:hAnsi="Symbol" w:cs="Symbol" w:hint="default"/>
        <w:rFonts w:cs="OpenSymbol"/>
      </w:rPr>
    </w:lvl>
    <w:lvl w:ilvl="7">
      <w:start w:val="1"/>
      <w:numFmt w:val="bullet"/>
      <w:lvlText w:val="◦"/>
      <w:lvlJc w:val="left"/>
      <w:pPr>
        <w:tabs>
          <w:tab w:val="num" w:pos="3672"/>
        </w:tabs>
        <w:ind w:left="3672" w:hanging="360"/>
      </w:pPr>
      <w:rPr>
        <w:rFonts w:ascii="OpenSymbol" w:hAnsi="OpenSymbol" w:cs="OpenSymbol" w:hint="default"/>
        <w:rFonts w:cs="OpenSymbol"/>
      </w:rPr>
    </w:lvl>
    <w:lvl w:ilvl="8">
      <w:start w:val="1"/>
      <w:numFmt w:val="bullet"/>
      <w:lvlText w:val="▪"/>
      <w:lvlJc w:val="left"/>
      <w:pPr>
        <w:tabs>
          <w:tab w:val="num" w:pos="4032"/>
        </w:tabs>
        <w:ind w:left="4032" w:hanging="360"/>
      </w:pPr>
      <w:rPr>
        <w:rFonts w:ascii="OpenSymbol" w:hAnsi="OpenSymbol" w:cs="OpenSymbol" w:hint="default"/>
        <w:rFonts w:cs="OpenSymbol"/>
      </w:rPr>
    </w:lvl>
  </w:abstractNum>
  <w:abstractNum w:abstractNumId="3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75"/>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de-A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d0106"/>
    <w:pPr>
      <w:widowControl/>
      <w:bidi w:val="0"/>
      <w:spacing w:before="0" w:after="160"/>
      <w:jc w:val="left"/>
      <w:textAlignment w:val="baseline"/>
    </w:pPr>
    <w:rPr>
      <w:rFonts w:ascii="Calibri" w:hAnsi="Calibri" w:eastAsia="Calibri" w:cs="Times New Roman"/>
      <w:color w:val="000000" w:themeColor="text1"/>
      <w:kern w:val="2"/>
      <w:sz w:val="22"/>
      <w:szCs w:val="22"/>
      <w:lang w:val="de-AT" w:eastAsia="en-US" w:bidi="ar-SA"/>
    </w:rPr>
  </w:style>
  <w:style w:type="paragraph" w:styleId="Berschrift1">
    <w:name w:val="Heading 1"/>
    <w:basedOn w:val="Normal"/>
    <w:next w:val="Normal"/>
    <w:qFormat/>
    <w:rsid w:val="004d0106"/>
    <w:pPr>
      <w:keepNext w:val="true"/>
      <w:keepLines/>
      <w:numPr>
        <w:ilvl w:val="0"/>
        <w:numId w:val="1"/>
      </w:numPr>
      <w:spacing w:before="480" w:after="240"/>
      <w:outlineLvl w:val="0"/>
    </w:pPr>
    <w:rPr>
      <w:rFonts w:ascii="Calibri Light" w:hAnsi="Calibri Light" w:eastAsia="Times New Roman" w:cs="Cambria" w:asciiTheme="majorHAnsi" w:hAnsiTheme="majorHAnsi"/>
      <w:bCs/>
      <w:sz w:val="32"/>
      <w:szCs w:val="28"/>
    </w:rPr>
  </w:style>
  <w:style w:type="paragraph" w:styleId="Berschrift2">
    <w:name w:val="Heading 2"/>
    <w:basedOn w:val="Normal"/>
    <w:next w:val="Normal"/>
    <w:qFormat/>
    <w:rsid w:val="004d0106"/>
    <w:pPr>
      <w:keepNext w:val="true"/>
      <w:keepLines/>
      <w:numPr>
        <w:ilvl w:val="1"/>
        <w:numId w:val="1"/>
      </w:numPr>
      <w:spacing w:before="200" w:after="120"/>
      <w:outlineLvl w:val="1"/>
    </w:pPr>
    <w:rPr>
      <w:rFonts w:ascii="Calibri Light" w:hAnsi="Calibri Light" w:eastAsia="Times New Roman" w:cs="Cambria" w:asciiTheme="majorHAnsi" w:hAnsiTheme="majorHAnsi"/>
      <w:bCs/>
      <w:sz w:val="28"/>
      <w:szCs w:val="26"/>
    </w:rPr>
  </w:style>
  <w:style w:type="paragraph" w:styleId="Berschrift3">
    <w:name w:val="Heading 3"/>
    <w:basedOn w:val="Normal"/>
    <w:next w:val="Normal"/>
    <w:qFormat/>
    <w:rsid w:val="00ec0116"/>
    <w:pPr>
      <w:keepNext w:val="true"/>
      <w:keepLines/>
      <w:numPr>
        <w:ilvl w:val="2"/>
        <w:numId w:val="1"/>
      </w:numPr>
      <w:spacing w:before="200" w:after="120"/>
      <w:outlineLvl w:val="2"/>
    </w:pPr>
    <w:rPr>
      <w:rFonts w:ascii="Calibri Light" w:hAnsi="Calibri Light" w:eastAsia="Times New Roman" w:cs="Cambria" w:asciiTheme="majorHAnsi" w:hAnsiTheme="majorHAnsi"/>
      <w:bCs/>
      <w:sz w:val="24"/>
    </w:rPr>
  </w:style>
  <w:style w:type="paragraph" w:styleId="Berschrift4">
    <w:name w:val="Heading 4"/>
    <w:basedOn w:val="Normal"/>
    <w:next w:val="Normal"/>
    <w:uiPriority w:val="9"/>
    <w:unhideWhenUsed/>
    <w:qFormat/>
    <w:rsid w:val="004d0106"/>
    <w:pPr>
      <w:keepNext w:val="true"/>
      <w:keepLines/>
      <w:numPr>
        <w:ilvl w:val="3"/>
        <w:numId w:val="1"/>
      </w:numPr>
      <w:spacing w:before="120" w:after="160"/>
      <w:outlineLvl w:val="3"/>
    </w:pPr>
    <w:rPr>
      <w:rFonts w:ascii="Helvetica Neue Light" w:hAnsi="Helvetica Neue Light" w:eastAsia="" w:cs="" w:cstheme="majorBidi" w:eastAsiaTheme="majorEastAsia"/>
      <w14:ligatures w14:val="standardContextual"/>
      <w14:cntxtAlts/>
    </w:rPr>
  </w:style>
  <w:style w:type="paragraph" w:styleId="Berschrift5">
    <w:name w:val="Heading 5"/>
    <w:basedOn w:val="Normal"/>
    <w:next w:val="Normal"/>
    <w:qFormat/>
    <w:pPr>
      <w:keepNext w:val="true"/>
      <w:keepLines/>
      <w:numPr>
        <w:ilvl w:val="4"/>
        <w:numId w:val="1"/>
      </w:numPr>
      <w:spacing w:before="200" w:after="0"/>
      <w:outlineLvl w:val="4"/>
    </w:pPr>
    <w:rPr>
      <w:rFonts w:ascii="Cambria" w:hAnsi="Cambria" w:eastAsia="Times New Roman" w:cs="Cambria"/>
      <w:color w:val="243F60"/>
    </w:rPr>
  </w:style>
  <w:style w:type="paragraph" w:styleId="Berschrift6">
    <w:name w:val="Heading 6"/>
    <w:basedOn w:val="Normal"/>
    <w:next w:val="Normal"/>
    <w:qFormat/>
    <w:pPr>
      <w:keepNext w:val="true"/>
      <w:keepLines/>
      <w:numPr>
        <w:ilvl w:val="5"/>
        <w:numId w:val="1"/>
      </w:numPr>
      <w:spacing w:before="200" w:after="0"/>
      <w:outlineLvl w:val="5"/>
    </w:pPr>
    <w:rPr>
      <w:rFonts w:ascii="Cambria" w:hAnsi="Cambria" w:eastAsia="Times New Roman" w:cs="Cambria"/>
      <w:i/>
      <w:iCs/>
      <w:color w:val="243F60"/>
    </w:rPr>
  </w:style>
  <w:style w:type="paragraph" w:styleId="Berschrift7">
    <w:name w:val="Heading 7"/>
    <w:basedOn w:val="Normal"/>
    <w:next w:val="Normal"/>
    <w:qFormat/>
    <w:pPr>
      <w:keepNext w:val="true"/>
      <w:keepLines/>
      <w:numPr>
        <w:ilvl w:val="6"/>
        <w:numId w:val="1"/>
      </w:numPr>
      <w:spacing w:before="200" w:after="0"/>
      <w:outlineLvl w:val="6"/>
    </w:pPr>
    <w:rPr>
      <w:rFonts w:ascii="Cambria" w:hAnsi="Cambria" w:eastAsia="Times New Roman" w:cs="Cambria"/>
      <w:i/>
      <w:iCs/>
      <w:color w:val="404040"/>
    </w:rPr>
  </w:style>
  <w:style w:type="paragraph" w:styleId="Berschrift8">
    <w:name w:val="Heading 8"/>
    <w:basedOn w:val="Normal"/>
    <w:next w:val="Normal"/>
    <w:qFormat/>
    <w:pPr>
      <w:keepNext w:val="true"/>
      <w:keepLines/>
      <w:numPr>
        <w:ilvl w:val="7"/>
        <w:numId w:val="1"/>
      </w:numPr>
      <w:spacing w:before="200" w:after="0"/>
      <w:outlineLvl w:val="7"/>
    </w:pPr>
    <w:rPr>
      <w:rFonts w:ascii="Cambria" w:hAnsi="Cambria" w:eastAsia="Times New Roman" w:cs="Cambria"/>
      <w:color w:val="404040"/>
      <w:sz w:val="20"/>
      <w:szCs w:val="20"/>
    </w:rPr>
  </w:style>
  <w:style w:type="paragraph" w:styleId="Berschrift9">
    <w:name w:val="Heading 9"/>
    <w:basedOn w:val="Normal"/>
    <w:next w:val="Normal"/>
    <w:qFormat/>
    <w:pPr>
      <w:keepNext w:val="true"/>
      <w:keepLines/>
      <w:numPr>
        <w:ilvl w:val="8"/>
        <w:numId w:val="1"/>
      </w:numPr>
      <w:spacing w:before="200" w:after="0"/>
      <w:outlineLvl w:val="8"/>
    </w:pPr>
    <w:rPr>
      <w:rFonts w:ascii="Cambria" w:hAnsi="Cambria" w:eastAsia="Times New Roman" w:cs="Cambria"/>
      <w:i/>
      <w:iCs/>
      <w:color w:val="404040"/>
      <w:sz w:val="20"/>
      <w:szCs w:val="20"/>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qFormat/>
    <w:rsid w:val="004d0106"/>
    <w:rPr>
      <w:rFonts w:ascii="Calibri Light" w:hAnsi="Calibri Light" w:eastAsia="Times New Roman" w:cs="Cambria" w:asciiTheme="majorHAnsi" w:hAnsiTheme="majorHAnsi"/>
      <w:bCs/>
      <w:color w:val="000000" w:themeColor="text1"/>
      <w:kern w:val="2"/>
      <w:sz w:val="32"/>
      <w:szCs w:val="28"/>
    </w:rPr>
  </w:style>
  <w:style w:type="character" w:styleId="Berschrift2Zchn" w:customStyle="1">
    <w:name w:val="Überschrift 2 Zchn"/>
    <w:basedOn w:val="DefaultParagraphFont"/>
    <w:qFormat/>
    <w:rsid w:val="004d0106"/>
    <w:rPr>
      <w:rFonts w:ascii="Calibri Light" w:hAnsi="Calibri Light" w:eastAsia="Times New Roman" w:cs="Cambria" w:asciiTheme="majorHAnsi" w:hAnsiTheme="majorHAnsi"/>
      <w:bCs/>
      <w:color w:val="000000" w:themeColor="text1"/>
      <w:kern w:val="2"/>
      <w:sz w:val="28"/>
      <w:szCs w:val="26"/>
    </w:rPr>
  </w:style>
  <w:style w:type="character" w:styleId="Berschrift3Zchn" w:customStyle="1">
    <w:name w:val="Überschrift 3 Zchn"/>
    <w:basedOn w:val="DefaultParagraphFont"/>
    <w:qFormat/>
    <w:rsid w:val="00ec0116"/>
    <w:rPr>
      <w:rFonts w:ascii="Calibri Light" w:hAnsi="Calibri Light" w:eastAsia="Times New Roman" w:cs="Cambria" w:asciiTheme="majorHAnsi" w:hAnsiTheme="majorHAnsi"/>
      <w:bCs/>
      <w:color w:val="000000" w:themeColor="text1"/>
      <w:kern w:val="2"/>
      <w:sz w:val="24"/>
    </w:rPr>
  </w:style>
  <w:style w:type="character" w:styleId="Berschrift4Zchn" w:customStyle="1">
    <w:name w:val="Überschrift 4 Zchn"/>
    <w:basedOn w:val="DefaultParagraphFont"/>
    <w:uiPriority w:val="9"/>
    <w:qFormat/>
    <w:rsid w:val="004d0106"/>
    <w:rPr>
      <w:rFonts w:ascii="Helvetica Neue Light" w:hAnsi="Helvetica Neue Light" w:eastAsia="" w:cs="" w:cstheme="majorBidi" w:eastAsiaTheme="majorEastAsia"/>
      <w:color w:val="000000" w:themeColor="text1"/>
      <w:kern w:val="2"/>
      <w:sz w:val="22"/>
      <w14:ligatures w14:val="standardContextual"/>
      <w14:cntxtAlts/>
    </w:rPr>
  </w:style>
  <w:style w:type="character" w:styleId="FunotentextZchn" w:customStyle="1">
    <w:name w:val="Fußnotentext Zchn"/>
    <w:basedOn w:val="DefaultParagraphFont"/>
    <w:link w:val="Funotentext"/>
    <w:uiPriority w:val="99"/>
    <w:semiHidden/>
    <w:qFormat/>
    <w:rsid w:val="004d0106"/>
    <w:rPr>
      <w:color w:val="000000" w:themeColor="text1"/>
      <w:kern w:val="2"/>
      <w:szCs w:val="20"/>
    </w:rPr>
  </w:style>
  <w:style w:type="character" w:styleId="Funotenanker" w:customStyle="1">
    <w:name w:val="Fußnotenanker"/>
    <w:rPr>
      <w:vertAlign w:val="superscript"/>
    </w:rPr>
  </w:style>
  <w:style w:type="character" w:styleId="FootnoteCharacters">
    <w:name w:val="Footnote Characters"/>
    <w:qFormat/>
    <w:rPr/>
  </w:style>
  <w:style w:type="character" w:styleId="Internetverknpfung">
    <w:name w:val="Internetverknüpfung"/>
    <w:basedOn w:val="DefaultParagraphFont"/>
    <w:uiPriority w:val="99"/>
    <w:unhideWhenUsed/>
    <w:rsid w:val="00294f5d"/>
    <w:rPr>
      <w:color w:val="0563C1" w:themeColor="hyperlink"/>
      <w:u w:val="single"/>
    </w:rPr>
  </w:style>
  <w:style w:type="character" w:styleId="SprechblasentextZchn" w:customStyle="1">
    <w:name w:val="Sprechblasentext Zchn"/>
    <w:basedOn w:val="DefaultParagraphFont"/>
    <w:link w:val="Sprechblasentext"/>
    <w:uiPriority w:val="99"/>
    <w:semiHidden/>
    <w:qFormat/>
    <w:rsid w:val="00dc018b"/>
    <w:rPr>
      <w:rFonts w:ascii="Times New Roman" w:hAnsi="Times New Roman"/>
      <w:color w:val="000000" w:themeColor="text1"/>
      <w:kern w:val="2"/>
      <w:sz w:val="18"/>
      <w:szCs w:val="18"/>
    </w:rPr>
  </w:style>
  <w:style w:type="character" w:styleId="KopfzeileZchn" w:customStyle="1">
    <w:name w:val="Kopfzeile Zchn"/>
    <w:basedOn w:val="DefaultParagraphFont"/>
    <w:link w:val="Kopfzeile"/>
    <w:uiPriority w:val="99"/>
    <w:qFormat/>
    <w:rsid w:val="005f35e2"/>
    <w:rPr>
      <w:color w:val="000000" w:themeColor="text1"/>
      <w:kern w:val="2"/>
      <w:sz w:val="22"/>
    </w:rPr>
  </w:style>
  <w:style w:type="character" w:styleId="FuzeileZchn" w:customStyle="1">
    <w:name w:val="Fußzeile Zchn"/>
    <w:basedOn w:val="DefaultParagraphFont"/>
    <w:link w:val="Fuzeile"/>
    <w:uiPriority w:val="99"/>
    <w:qFormat/>
    <w:rsid w:val="005f35e2"/>
    <w:rPr>
      <w:color w:val="000000" w:themeColor="text1"/>
      <w:kern w:val="2"/>
      <w:sz w:val="18"/>
    </w:rPr>
  </w:style>
  <w:style w:type="character" w:styleId="ListLabel1" w:customStyle="1">
    <w:name w:val="ListLabel 1"/>
    <w:qFormat/>
    <w:rPr>
      <w:rFonts w:cs="Symbol"/>
    </w:rPr>
  </w:style>
  <w:style w:type="character" w:styleId="ListLabel2" w:customStyle="1">
    <w:name w:val="ListLabel 2"/>
    <w:qFormat/>
    <w:rPr>
      <w:rFonts w:cs="Courier New"/>
    </w:rPr>
  </w:style>
  <w:style w:type="character" w:styleId="ListLabel3" w:customStyle="1">
    <w:name w:val="ListLabel 3"/>
    <w:qFormat/>
    <w:rPr>
      <w:rFonts w:cs="Wingdings"/>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sz w:val="20"/>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OpenSymbol"/>
      <w:sz w:val="22"/>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sz w:val="22"/>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Symbol"/>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Symbol"/>
    </w:rPr>
  </w:style>
  <w:style w:type="character" w:styleId="ListLabel76" w:customStyle="1">
    <w:name w:val="ListLabel 76"/>
    <w:qFormat/>
    <w:rPr>
      <w:rFonts w:cs="Courier New"/>
    </w:rPr>
  </w:style>
  <w:style w:type="character" w:styleId="ListLabel77" w:customStyle="1">
    <w:name w:val="ListLabel 77"/>
    <w:qFormat/>
    <w:rPr>
      <w:rFonts w:cs="Symbol"/>
      <w:sz w:val="20"/>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Symbol"/>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sz w:val="22"/>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OpenSymbol"/>
      <w:sz w:val="22"/>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b/>
    </w:rPr>
  </w:style>
  <w:style w:type="character" w:styleId="ListLabel105" w:customStyle="1">
    <w:name w:val="ListLabel 105"/>
    <w:qFormat/>
    <w:rPr>
      <w:i w:val="false"/>
    </w:rPr>
  </w:style>
  <w:style w:type="character" w:styleId="ListLabel106" w:customStyle="1">
    <w:name w:val="ListLabel 106"/>
    <w:qFormat/>
    <w:rPr>
      <w:rFonts w:cs="Symbol"/>
      <w:sz w:val="22"/>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eastAsia="Times New Roman" w:cs="Trebuchet MS"/>
      <w:color w:val="000000"/>
      <w:sz w:val="24"/>
      <w:szCs w:val="24"/>
    </w:rPr>
  </w:style>
  <w:style w:type="character" w:styleId="ListLabel143" w:customStyle="1">
    <w:name w:val="ListLabel 143"/>
    <w:qFormat/>
    <w:rPr/>
  </w:style>
  <w:style w:type="character" w:styleId="ListLabel144" w:customStyle="1">
    <w:name w:val="ListLabel 144"/>
    <w:qFormat/>
    <w:rPr>
      <w:sz w:val="20"/>
    </w:rPr>
  </w:style>
  <w:style w:type="character" w:styleId="ListLabel145" w:customStyle="1">
    <w:name w:val="ListLabel 145"/>
    <w:qFormat/>
    <w:rPr>
      <w:sz w:val="16"/>
      <w:szCs w:val="16"/>
    </w:rPr>
  </w:style>
  <w:style w:type="character" w:styleId="ListLabel146" w:customStyle="1">
    <w:name w:val="ListLabel 146"/>
    <w:qFormat/>
    <w:rPr>
      <w:rFonts w:cs="Calibri"/>
      <w:color w:val="000000"/>
    </w:rPr>
  </w:style>
  <w:style w:type="character" w:styleId="ListLabel147" w:customStyle="1">
    <w:name w:val="ListLabel 147"/>
    <w:qFormat/>
    <w:rPr>
      <w:rFonts w:ascii="Calibri" w:hAnsi="Calibri" w:cs="Calibri" w:asciiTheme="minorHAnsi" w:hAnsiTheme="minorHAnsi"/>
    </w:rPr>
  </w:style>
  <w:style w:type="character" w:styleId="ListLabel148" w:customStyle="1">
    <w:name w:val="ListLabel 148"/>
    <w:qFormat/>
    <w:rPr>
      <w:rFonts w:ascii="Arial" w:hAnsi="Arial" w:eastAsia="Times New Roman" w:cs="Arial"/>
      <w:sz w:val="18"/>
    </w:rPr>
  </w:style>
  <w:style w:type="character" w:styleId="ListLabel149" w:customStyle="1">
    <w:name w:val="ListLabel 149"/>
    <w:qFormat/>
    <w:rPr>
      <w:rFonts w:ascii="Arial" w:hAnsi="Arial" w:eastAsia="Times New Roman" w:cs="Arial"/>
      <w:b/>
      <w:bCs/>
      <w:sz w:val="18"/>
    </w:rPr>
  </w:style>
  <w:style w:type="character" w:styleId="ListLabel150" w:customStyle="1">
    <w:name w:val="ListLabel 150"/>
    <w:qFormat/>
    <w:rPr>
      <w:rFonts w:cs="Calibri"/>
    </w:rPr>
  </w:style>
  <w:style w:type="character" w:styleId="ListLabel151" w:customStyle="1">
    <w:name w:val="ListLabel 151"/>
    <w:qFormat/>
    <w:rPr>
      <w:sz w:val="24"/>
      <w:szCs w:val="24"/>
    </w:rPr>
  </w:style>
  <w:style w:type="character" w:styleId="Verzeichnissprung" w:customStyle="1">
    <w:name w:val="Verzeichnissprung"/>
    <w:qFormat/>
    <w:rPr/>
  </w:style>
  <w:style w:type="character" w:styleId="Starkbetont" w:customStyle="1">
    <w:name w:val="Stark betont"/>
    <w:qFormat/>
    <w:rPr>
      <w:b/>
      <w:bCs/>
    </w:rPr>
  </w:style>
  <w:style w:type="character" w:styleId="Aufzhlungszeichen1" w:customStyle="1">
    <w:name w:val="Aufzählungszeichen1"/>
    <w:qFormat/>
    <w:rPr>
      <w:rFonts w:ascii="OpenSymbol" w:hAnsi="OpenSymbol" w:eastAsia="OpenSymbol" w:cs="OpenSymbol"/>
    </w:rPr>
  </w:style>
  <w:style w:type="character" w:styleId="Betont" w:customStyle="1">
    <w:name w:val="Betont"/>
    <w:qFormat/>
    <w:rPr>
      <w:i/>
      <w:iCs/>
    </w:rPr>
  </w:style>
  <w:style w:type="character" w:styleId="Nummerierungszeichen" w:customStyle="1">
    <w:name w:val="Nummerierungszeichen"/>
    <w:qFormat/>
    <w:rPr/>
  </w:style>
  <w:style w:type="character" w:styleId="Endnotenanker" w:customStyle="1">
    <w:name w:val="Endnotenanker"/>
    <w:rPr>
      <w:vertAlign w:val="superscript"/>
    </w:rPr>
  </w:style>
  <w:style w:type="character" w:styleId="EndnoteCharacters">
    <w:name w:val="Endnote Characters"/>
    <w:qFormat/>
    <w:rPr/>
  </w:style>
  <w:style w:type="character" w:styleId="BesuchteInternetverknpfung" w:customStyle="1">
    <w:name w:val="Besuchte Internetverknüpfung"/>
    <w:rPr>
      <w:color w:val="800000"/>
      <w:u w:val="single"/>
    </w:rPr>
  </w:style>
  <w:style w:type="character" w:styleId="ListLabel152" w:customStyle="1">
    <w:name w:val="ListLabel 152"/>
    <w:qFormat/>
    <w:rPr>
      <w:rFonts w:cs="Symbol"/>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sz w:val="20"/>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Symbol"/>
      <w:sz w:val="22"/>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OpenSymbol"/>
      <w:sz w:val="22"/>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sz w:val="22"/>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Symbol"/>
    </w:rPr>
  </w:style>
  <w:style w:type="character" w:styleId="ListLabel218" w:customStyle="1">
    <w:name w:val="ListLabel 218"/>
    <w:qFormat/>
    <w:rPr>
      <w:rFonts w:cs="Wingdings"/>
    </w:rPr>
  </w:style>
  <w:style w:type="character" w:styleId="ListLabel219" w:customStyle="1">
    <w:name w:val="ListLabel 219"/>
    <w:qFormat/>
    <w:rPr>
      <w:rFonts w:cs="Symbol"/>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Symbol"/>
    </w:rPr>
  </w:style>
  <w:style w:type="character" w:styleId="ListLabel227" w:customStyle="1">
    <w:name w:val="ListLabel 227"/>
    <w:qFormat/>
    <w:rPr>
      <w:rFonts w:cs="Courier New"/>
    </w:rPr>
  </w:style>
  <w:style w:type="character" w:styleId="ListLabel228" w:customStyle="1">
    <w:name w:val="ListLabel 228"/>
    <w:qFormat/>
    <w:rPr>
      <w:rFonts w:cs="Symbol"/>
      <w:sz w:val="20"/>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OpenSymbol"/>
      <w:sz w:val="22"/>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b/>
    </w:rPr>
  </w:style>
  <w:style w:type="character" w:styleId="ListLabel256" w:customStyle="1">
    <w:name w:val="ListLabel 256"/>
    <w:qFormat/>
    <w:rPr>
      <w:i w:val="false"/>
    </w:rPr>
  </w:style>
  <w:style w:type="character" w:styleId="ListLabel257" w:customStyle="1">
    <w:name w:val="ListLabel 257"/>
    <w:qFormat/>
    <w:rPr>
      <w:rFonts w:cs="Symbol"/>
      <w:sz w:val="22"/>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ascii="Calibri" w:hAnsi="Calibri" w:cs="Symbol"/>
    </w:rPr>
  </w:style>
  <w:style w:type="character" w:styleId="ListLabel285" w:customStyle="1">
    <w:name w:val="ListLabel 285"/>
    <w:qFormat/>
    <w:rPr>
      <w:rFonts w:cs="Courier New"/>
    </w:rPr>
  </w:style>
  <w:style w:type="character" w:styleId="ListLabel286" w:customStyle="1">
    <w:name w:val="ListLabel 286"/>
    <w:qFormat/>
    <w:rPr>
      <w:rFonts w:cs="Wingdings"/>
    </w:rPr>
  </w:style>
  <w:style w:type="character" w:styleId="ListLabel287" w:customStyle="1">
    <w:name w:val="ListLabel 287"/>
    <w:qFormat/>
    <w:rPr>
      <w:rFonts w:cs="Symbol"/>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eastAsia="Times New Roman" w:cs="Trebuchet MS"/>
      <w:color w:val="000000"/>
      <w:sz w:val="24"/>
      <w:szCs w:val="24"/>
    </w:rPr>
  </w:style>
  <w:style w:type="character" w:styleId="ListLabel366" w:customStyle="1">
    <w:name w:val="ListLabel 366"/>
    <w:qFormat/>
    <w:rPr/>
  </w:style>
  <w:style w:type="character" w:styleId="ListLabel367" w:customStyle="1">
    <w:name w:val="ListLabel 367"/>
    <w:qFormat/>
    <w:rPr>
      <w:sz w:val="20"/>
    </w:rPr>
  </w:style>
  <w:style w:type="character" w:styleId="ListLabel368" w:customStyle="1">
    <w:name w:val="ListLabel 368"/>
    <w:qFormat/>
    <w:rPr>
      <w:sz w:val="16"/>
      <w:szCs w:val="16"/>
    </w:rPr>
  </w:style>
  <w:style w:type="character" w:styleId="ListLabel369" w:customStyle="1">
    <w:name w:val="ListLabel 369"/>
    <w:qFormat/>
    <w:rPr>
      <w:rFonts w:cs="Calibri"/>
      <w:color w:val="000000"/>
    </w:rPr>
  </w:style>
  <w:style w:type="character" w:styleId="ListLabel370" w:customStyle="1">
    <w:name w:val="ListLabel 370"/>
    <w:qFormat/>
    <w:rPr>
      <w:rFonts w:ascii="Arial" w:hAnsi="Arial" w:eastAsia="Times New Roman" w:cs="Arial"/>
      <w:sz w:val="18"/>
    </w:rPr>
  </w:style>
  <w:style w:type="character" w:styleId="ListLabel371" w:customStyle="1">
    <w:name w:val="ListLabel 371"/>
    <w:qFormat/>
    <w:rPr>
      <w:rFonts w:ascii="Arial" w:hAnsi="Arial" w:eastAsia="Times New Roman" w:cs="Arial"/>
      <w:b/>
      <w:bCs/>
      <w:sz w:val="18"/>
    </w:rPr>
  </w:style>
  <w:style w:type="character" w:styleId="ListLabel372" w:customStyle="1">
    <w:name w:val="ListLabel 372"/>
    <w:qFormat/>
    <w:rPr>
      <w:rFonts w:cs="Calibri"/>
    </w:rPr>
  </w:style>
  <w:style w:type="character" w:styleId="ListLabel373" w:customStyle="1">
    <w:name w:val="ListLabel 373"/>
    <w:qFormat/>
    <w:rPr>
      <w:rFonts w:cs="Calibri"/>
    </w:rPr>
  </w:style>
  <w:style w:type="character" w:styleId="ListLabel374" w:customStyle="1">
    <w:name w:val="ListLabel 374"/>
    <w:qFormat/>
    <w:rPr>
      <w:sz w:val="24"/>
      <w:szCs w:val="24"/>
    </w:rPr>
  </w:style>
  <w:style w:type="character" w:styleId="ListLabel375" w:customStyle="1">
    <w:name w:val="ListLabel 375"/>
    <w:qFormat/>
    <w:rPr>
      <w:b/>
      <w:bCs/>
      <w:i/>
      <w:sz w:val="28"/>
      <w:szCs w:val="28"/>
    </w:rPr>
  </w:style>
  <w:style w:type="character" w:styleId="ListLabel376" w:customStyle="1">
    <w:name w:val="ListLabel 376"/>
    <w:qFormat/>
    <w:rPr/>
  </w:style>
  <w:style w:type="character" w:styleId="ListLabel377" w:customStyle="1">
    <w:name w:val="ListLabel 377"/>
    <w:qFormat/>
    <w:rPr>
      <w:color w:val="000000" w:themeColor="text1"/>
      <w:highlight w:val="yellow"/>
    </w:rPr>
  </w:style>
  <w:style w:type="character" w:styleId="ListLabel378" w:customStyle="1">
    <w:name w:val="ListLabel 378"/>
    <w:qFormat/>
    <w:rPr>
      <w:rFonts w:cs="Symbol"/>
    </w:rPr>
  </w:style>
  <w:style w:type="character" w:styleId="ListLabel379" w:customStyle="1">
    <w:name w:val="ListLabel 379"/>
    <w:qFormat/>
    <w:rPr>
      <w:rFonts w:cs="Courier New"/>
    </w:rPr>
  </w:style>
  <w:style w:type="character" w:styleId="ListLabel380" w:customStyle="1">
    <w:name w:val="ListLabel 380"/>
    <w:qFormat/>
    <w:rPr>
      <w:rFonts w:cs="Wingdings"/>
    </w:rPr>
  </w:style>
  <w:style w:type="character" w:styleId="ListLabel381" w:customStyle="1">
    <w:name w:val="ListLabel 381"/>
    <w:qFormat/>
    <w:rPr>
      <w:rFonts w:cs="Symbol"/>
    </w:rPr>
  </w:style>
  <w:style w:type="character" w:styleId="ListLabel382" w:customStyle="1">
    <w:name w:val="ListLabel 382"/>
    <w:qFormat/>
    <w:rPr>
      <w:rFonts w:cs="Courier New"/>
    </w:rPr>
  </w:style>
  <w:style w:type="character" w:styleId="ListLabel383" w:customStyle="1">
    <w:name w:val="ListLabel 383"/>
    <w:qFormat/>
    <w:rPr>
      <w:rFonts w:cs="Wingdings"/>
    </w:rPr>
  </w:style>
  <w:style w:type="character" w:styleId="ListLabel384" w:customStyle="1">
    <w:name w:val="ListLabel 384"/>
    <w:qFormat/>
    <w:rPr>
      <w:rFonts w:cs="Symbol"/>
    </w:rPr>
  </w:style>
  <w:style w:type="character" w:styleId="ListLabel385" w:customStyle="1">
    <w:name w:val="ListLabel 385"/>
    <w:qFormat/>
    <w:rPr>
      <w:rFonts w:cs="Courier New"/>
    </w:rPr>
  </w:style>
  <w:style w:type="character" w:styleId="ListLabel386" w:customStyle="1">
    <w:name w:val="ListLabel 386"/>
    <w:qFormat/>
    <w:rPr>
      <w:rFonts w:cs="Wingdings"/>
    </w:rPr>
  </w:style>
  <w:style w:type="character" w:styleId="ListLabel387" w:customStyle="1">
    <w:name w:val="ListLabel 387"/>
    <w:qFormat/>
    <w:rPr>
      <w:rFonts w:cs="Symbol"/>
      <w:sz w:val="20"/>
    </w:rPr>
  </w:style>
  <w:style w:type="character" w:styleId="ListLabel388" w:customStyle="1">
    <w:name w:val="ListLabel 388"/>
    <w:qFormat/>
    <w:rPr>
      <w:rFonts w:cs="Symbol"/>
    </w:rPr>
  </w:style>
  <w:style w:type="character" w:styleId="ListLabel389" w:customStyle="1">
    <w:name w:val="ListLabel 389"/>
    <w:qFormat/>
    <w:rPr>
      <w:rFonts w:cs="Courier New"/>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sz w:val="22"/>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rPr>
  </w:style>
  <w:style w:type="character" w:styleId="ListLabel405" w:customStyle="1">
    <w:name w:val="ListLabel 405"/>
    <w:qFormat/>
    <w:rPr>
      <w:rFonts w:cs="Courier New"/>
    </w:rPr>
  </w:style>
  <w:style w:type="character" w:styleId="ListLabel406" w:customStyle="1">
    <w:name w:val="ListLabel 406"/>
    <w:qFormat/>
    <w:rPr>
      <w:rFonts w:cs="Wingdings"/>
    </w:rPr>
  </w:style>
  <w:style w:type="character" w:styleId="ListLabel407" w:customStyle="1">
    <w:name w:val="ListLabel 407"/>
    <w:qFormat/>
    <w:rPr>
      <w:rFonts w:cs="OpenSymbol"/>
      <w:sz w:val="22"/>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sz w:val="22"/>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Symbol"/>
    </w:rPr>
  </w:style>
  <w:style w:type="character" w:styleId="ListLabel434" w:customStyle="1">
    <w:name w:val="ListLabel 434"/>
    <w:qFormat/>
    <w:rPr>
      <w:rFonts w:cs="Courier New"/>
    </w:rPr>
  </w:style>
  <w:style w:type="character" w:styleId="ListLabel435" w:customStyle="1">
    <w:name w:val="ListLabel 435"/>
    <w:qFormat/>
    <w:rPr>
      <w:rFonts w:cs="Wingdings"/>
    </w:rPr>
  </w:style>
  <w:style w:type="character" w:styleId="ListLabel436" w:customStyle="1">
    <w:name w:val="ListLabel 436"/>
    <w:qFormat/>
    <w:rPr>
      <w:rFonts w:cs="Symbol"/>
    </w:rPr>
  </w:style>
  <w:style w:type="character" w:styleId="ListLabel437" w:customStyle="1">
    <w:name w:val="ListLabel 437"/>
    <w:qFormat/>
    <w:rPr>
      <w:rFonts w:cs="Courier New"/>
    </w:rPr>
  </w:style>
  <w:style w:type="character" w:styleId="ListLabel438" w:customStyle="1">
    <w:name w:val="ListLabel 438"/>
    <w:qFormat/>
    <w:rPr>
      <w:rFonts w:cs="Wingdings"/>
    </w:rPr>
  </w:style>
  <w:style w:type="character" w:styleId="ListLabel439" w:customStyle="1">
    <w:name w:val="ListLabel 439"/>
    <w:qFormat/>
    <w:rPr>
      <w:rFonts w:cs="Symbol"/>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ListLabel442" w:customStyle="1">
    <w:name w:val="ListLabel 442"/>
    <w:qFormat/>
    <w:rPr>
      <w:rFonts w:cs="Symbol"/>
    </w:rPr>
  </w:style>
  <w:style w:type="character" w:styleId="ListLabel443" w:customStyle="1">
    <w:name w:val="ListLabel 443"/>
    <w:qFormat/>
    <w:rPr>
      <w:rFonts w:cs="Symbol"/>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Symbol"/>
      <w:sz w:val="20"/>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0" w:customStyle="1">
    <w:name w:val="ListLabel 460"/>
    <w:qFormat/>
    <w:rPr>
      <w:rFonts w:cs="Symbol"/>
    </w:rPr>
  </w:style>
  <w:style w:type="character" w:styleId="ListLabel461" w:customStyle="1">
    <w:name w:val="ListLabel 461"/>
    <w:qFormat/>
    <w:rPr>
      <w:rFonts w:cs="Courier New"/>
    </w:rPr>
  </w:style>
  <w:style w:type="character" w:styleId="ListLabel462" w:customStyle="1">
    <w:name w:val="ListLabel 462"/>
    <w:qFormat/>
    <w:rPr>
      <w:rFonts w:cs="Wingdings"/>
    </w:rPr>
  </w:style>
  <w:style w:type="character" w:styleId="ListLabel463" w:customStyle="1">
    <w:name w:val="ListLabel 463"/>
    <w:qFormat/>
    <w:rPr>
      <w:rFonts w:cs="Symbol"/>
      <w:sz w:val="22"/>
    </w:rPr>
  </w:style>
  <w:style w:type="character" w:styleId="ListLabel464" w:customStyle="1">
    <w:name w:val="ListLabel 464"/>
    <w:qFormat/>
    <w:rPr>
      <w:rFonts w:cs="Courier New"/>
    </w:rPr>
  </w:style>
  <w:style w:type="character" w:styleId="ListLabel465" w:customStyle="1">
    <w:name w:val="ListLabel 465"/>
    <w:qFormat/>
    <w:rPr>
      <w:rFonts w:cs="Wingdings"/>
    </w:rPr>
  </w:style>
  <w:style w:type="character" w:styleId="ListLabel466" w:customStyle="1">
    <w:name w:val="ListLabel 466"/>
    <w:qFormat/>
    <w:rPr>
      <w:rFonts w:cs="Symbol"/>
    </w:rPr>
  </w:style>
  <w:style w:type="character" w:styleId="ListLabel467" w:customStyle="1">
    <w:name w:val="ListLabel 467"/>
    <w:qFormat/>
    <w:rPr>
      <w:rFonts w:cs="Courier New"/>
    </w:rPr>
  </w:style>
  <w:style w:type="character" w:styleId="ListLabel468" w:customStyle="1">
    <w:name w:val="ListLabel 468"/>
    <w:qFormat/>
    <w:rPr>
      <w:rFonts w:cs="Wingdings"/>
    </w:rPr>
  </w:style>
  <w:style w:type="character" w:styleId="ListLabel469" w:customStyle="1">
    <w:name w:val="ListLabel 469"/>
    <w:qFormat/>
    <w:rPr>
      <w:rFonts w:cs="Symbol"/>
    </w:rPr>
  </w:style>
  <w:style w:type="character" w:styleId="ListLabel470" w:customStyle="1">
    <w:name w:val="ListLabel 470"/>
    <w:qFormat/>
    <w:rPr>
      <w:rFonts w:cs="Courier New"/>
    </w:rPr>
  </w:style>
  <w:style w:type="character" w:styleId="ListLabel471" w:customStyle="1">
    <w:name w:val="ListLabel 471"/>
    <w:qFormat/>
    <w:rPr>
      <w:rFonts w:cs="Wingdings"/>
    </w:rPr>
  </w:style>
  <w:style w:type="character" w:styleId="ListLabel472" w:customStyle="1">
    <w:name w:val="ListLabel 472"/>
    <w:qFormat/>
    <w:rPr>
      <w:rFonts w:cs="OpenSymbol"/>
      <w:sz w:val="22"/>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b/>
    </w:rPr>
  </w:style>
  <w:style w:type="character" w:styleId="ListLabel482" w:customStyle="1">
    <w:name w:val="ListLabel 482"/>
    <w:qFormat/>
    <w:rPr>
      <w:i w:val="false"/>
    </w:rPr>
  </w:style>
  <w:style w:type="character" w:styleId="ListLabel483" w:customStyle="1">
    <w:name w:val="ListLabel 483"/>
    <w:qFormat/>
    <w:rPr>
      <w:rFonts w:cs="Symbol"/>
      <w:sz w:val="22"/>
    </w:rPr>
  </w:style>
  <w:style w:type="character" w:styleId="ListLabel484" w:customStyle="1">
    <w:name w:val="ListLabel 484"/>
    <w:qFormat/>
    <w:rPr>
      <w:rFonts w:cs="Courier New"/>
    </w:rPr>
  </w:style>
  <w:style w:type="character" w:styleId="ListLabel485" w:customStyle="1">
    <w:name w:val="ListLabel 485"/>
    <w:qFormat/>
    <w:rPr>
      <w:rFonts w:cs="Wingdings"/>
    </w:rPr>
  </w:style>
  <w:style w:type="character" w:styleId="ListLabel486" w:customStyle="1">
    <w:name w:val="ListLabel 486"/>
    <w:qFormat/>
    <w:rPr>
      <w:rFonts w:cs="Symbol"/>
    </w:rPr>
  </w:style>
  <w:style w:type="character" w:styleId="ListLabel487" w:customStyle="1">
    <w:name w:val="ListLabel 487"/>
    <w:qFormat/>
    <w:rPr>
      <w:rFonts w:cs="Courier New"/>
    </w:rPr>
  </w:style>
  <w:style w:type="character" w:styleId="ListLabel488" w:customStyle="1">
    <w:name w:val="ListLabel 488"/>
    <w:qFormat/>
    <w:rPr>
      <w:rFonts w:cs="Wingdings"/>
    </w:rPr>
  </w:style>
  <w:style w:type="character" w:styleId="ListLabel489" w:customStyle="1">
    <w:name w:val="ListLabel 489"/>
    <w:qFormat/>
    <w:rPr>
      <w:rFonts w:cs="Symbol"/>
    </w:rPr>
  </w:style>
  <w:style w:type="character" w:styleId="ListLabel490" w:customStyle="1">
    <w:name w:val="ListLabel 490"/>
    <w:qFormat/>
    <w:rPr>
      <w:rFonts w:cs="Courier New"/>
    </w:rPr>
  </w:style>
  <w:style w:type="character" w:styleId="ListLabel491" w:customStyle="1">
    <w:name w:val="ListLabel 491"/>
    <w:qFormat/>
    <w:rPr>
      <w:rFonts w:cs="Wingdings"/>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ascii="Calibri" w:hAnsi="Calibri" w:cs="Symbol"/>
    </w:rPr>
  </w:style>
  <w:style w:type="character" w:styleId="ListLabel511" w:customStyle="1">
    <w:name w:val="ListLabel 511"/>
    <w:qFormat/>
    <w:rPr>
      <w:rFonts w:cs="Courier New"/>
    </w:rPr>
  </w:style>
  <w:style w:type="character" w:styleId="ListLabel512" w:customStyle="1">
    <w:name w:val="ListLabel 512"/>
    <w:qFormat/>
    <w:rPr>
      <w:rFonts w:cs="Wingdings"/>
    </w:rPr>
  </w:style>
  <w:style w:type="character" w:styleId="ListLabel513" w:customStyle="1">
    <w:name w:val="ListLabel 513"/>
    <w:qFormat/>
    <w:rPr>
      <w:rFonts w:cs="Symbol"/>
    </w:rPr>
  </w:style>
  <w:style w:type="character" w:styleId="ListLabel514" w:customStyle="1">
    <w:name w:val="ListLabel 514"/>
    <w:qFormat/>
    <w:rPr>
      <w:rFonts w:cs="Courier New"/>
    </w:rPr>
  </w:style>
  <w:style w:type="character" w:styleId="ListLabel515" w:customStyle="1">
    <w:name w:val="ListLabel 515"/>
    <w:qFormat/>
    <w:rPr>
      <w:rFonts w:cs="Wingdings"/>
    </w:rPr>
  </w:style>
  <w:style w:type="character" w:styleId="ListLabel516" w:customStyle="1">
    <w:name w:val="ListLabel 516"/>
    <w:qFormat/>
    <w:rPr>
      <w:rFonts w:cs="Symbol"/>
    </w:rPr>
  </w:style>
  <w:style w:type="character" w:styleId="ListLabel517" w:customStyle="1">
    <w:name w:val="ListLabel 517"/>
    <w:qFormat/>
    <w:rPr>
      <w:rFonts w:cs="Courier New"/>
    </w:rPr>
  </w:style>
  <w:style w:type="character" w:styleId="ListLabel518" w:customStyle="1">
    <w:name w:val="ListLabel 518"/>
    <w:qFormat/>
    <w:rPr>
      <w:rFonts w:cs="Wingdings"/>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eastAsia="Times New Roman" w:cs="Trebuchet MS"/>
      <w:color w:val="000000"/>
      <w:sz w:val="24"/>
      <w:szCs w:val="24"/>
    </w:rPr>
  </w:style>
  <w:style w:type="character" w:styleId="ListLabel592" w:customStyle="1">
    <w:name w:val="ListLabel 592"/>
    <w:qFormat/>
    <w:rPr/>
  </w:style>
  <w:style w:type="character" w:styleId="ListLabel593" w:customStyle="1">
    <w:name w:val="ListLabel 593"/>
    <w:qFormat/>
    <w:rPr>
      <w:sz w:val="20"/>
    </w:rPr>
  </w:style>
  <w:style w:type="character" w:styleId="ListLabel594" w:customStyle="1">
    <w:name w:val="ListLabel 594"/>
    <w:qFormat/>
    <w:rPr>
      <w:sz w:val="16"/>
      <w:szCs w:val="16"/>
    </w:rPr>
  </w:style>
  <w:style w:type="character" w:styleId="ListLabel595" w:customStyle="1">
    <w:name w:val="ListLabel 595"/>
    <w:qFormat/>
    <w:rPr>
      <w:rFonts w:cs="Calibri"/>
      <w:color w:val="000000"/>
    </w:rPr>
  </w:style>
  <w:style w:type="character" w:styleId="ListLabel596" w:customStyle="1">
    <w:name w:val="ListLabel 596"/>
    <w:qFormat/>
    <w:rPr>
      <w:rFonts w:ascii="Arial" w:hAnsi="Arial" w:eastAsia="Times New Roman" w:cs="Arial"/>
      <w:sz w:val="18"/>
    </w:rPr>
  </w:style>
  <w:style w:type="character" w:styleId="ListLabel597" w:customStyle="1">
    <w:name w:val="ListLabel 597"/>
    <w:qFormat/>
    <w:rPr>
      <w:rFonts w:ascii="Arial" w:hAnsi="Arial" w:eastAsia="Times New Roman" w:cs="Arial"/>
      <w:b/>
      <w:bCs/>
      <w:sz w:val="18"/>
    </w:rPr>
  </w:style>
  <w:style w:type="character" w:styleId="ListLabel598" w:customStyle="1">
    <w:name w:val="ListLabel 598"/>
    <w:qFormat/>
    <w:rPr>
      <w:rFonts w:cs="Calibri"/>
    </w:rPr>
  </w:style>
  <w:style w:type="character" w:styleId="ListLabel599" w:customStyle="1">
    <w:name w:val="ListLabel 599"/>
    <w:qFormat/>
    <w:rPr>
      <w:rFonts w:cs="Calibri"/>
    </w:rPr>
  </w:style>
  <w:style w:type="character" w:styleId="ListLabel600" w:customStyle="1">
    <w:name w:val="ListLabel 600"/>
    <w:qFormat/>
    <w:rPr>
      <w:sz w:val="24"/>
      <w:szCs w:val="24"/>
    </w:rPr>
  </w:style>
  <w:style w:type="character" w:styleId="ListLabel601" w:customStyle="1">
    <w:name w:val="ListLabel 601"/>
    <w:qFormat/>
    <w:rPr>
      <w:b/>
      <w:bCs/>
      <w:i/>
      <w:sz w:val="28"/>
      <w:szCs w:val="28"/>
    </w:rPr>
  </w:style>
  <w:style w:type="character" w:styleId="ListLabel602" w:customStyle="1">
    <w:name w:val="ListLabel 602"/>
    <w:qFormat/>
    <w:rPr/>
  </w:style>
  <w:style w:type="character" w:styleId="ListLabel603" w:customStyle="1">
    <w:name w:val="ListLabel 603"/>
    <w:qFormat/>
    <w:rPr>
      <w:color w:val="000000" w:themeColor="text1"/>
      <w:highlight w:val="yellow"/>
    </w:rPr>
  </w:style>
  <w:style w:type="character" w:styleId="ListLabel604" w:customStyle="1">
    <w:name w:val="ListLabel 604"/>
    <w:qFormat/>
    <w:rPr>
      <w:rFonts w:cs="Symbol"/>
    </w:rPr>
  </w:style>
  <w:style w:type="character" w:styleId="ListLabel605" w:customStyle="1">
    <w:name w:val="ListLabel 605"/>
    <w:qFormat/>
    <w:rPr>
      <w:rFonts w:cs="Courier New"/>
    </w:rPr>
  </w:style>
  <w:style w:type="character" w:styleId="ListLabel606" w:customStyle="1">
    <w:name w:val="ListLabel 606"/>
    <w:qFormat/>
    <w:rPr>
      <w:rFonts w:cs="Wingdings"/>
    </w:rPr>
  </w:style>
  <w:style w:type="character" w:styleId="ListLabel607" w:customStyle="1">
    <w:name w:val="ListLabel 607"/>
    <w:qFormat/>
    <w:rPr>
      <w:rFonts w:cs="Symbol"/>
    </w:rPr>
  </w:style>
  <w:style w:type="character" w:styleId="ListLabel608" w:customStyle="1">
    <w:name w:val="ListLabel 608"/>
    <w:qFormat/>
    <w:rPr>
      <w:rFonts w:cs="Courier New"/>
    </w:rPr>
  </w:style>
  <w:style w:type="character" w:styleId="ListLabel609" w:customStyle="1">
    <w:name w:val="ListLabel 609"/>
    <w:qFormat/>
    <w:rPr>
      <w:rFonts w:cs="Wingdings"/>
    </w:rPr>
  </w:style>
  <w:style w:type="character" w:styleId="ListLabel610" w:customStyle="1">
    <w:name w:val="ListLabel 610"/>
    <w:qFormat/>
    <w:rPr>
      <w:rFonts w:cs="Symbol"/>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cs="Symbol"/>
      <w:sz w:val="20"/>
    </w:rPr>
  </w:style>
  <w:style w:type="character" w:styleId="ListLabel614" w:customStyle="1">
    <w:name w:val="ListLabel 614"/>
    <w:qFormat/>
    <w:rPr>
      <w:rFonts w:cs="Symbol"/>
    </w:rPr>
  </w:style>
  <w:style w:type="character" w:styleId="ListLabel615" w:customStyle="1">
    <w:name w:val="ListLabel 615"/>
    <w:qFormat/>
    <w:rPr>
      <w:rFonts w:cs="Courier New"/>
    </w:rPr>
  </w:style>
  <w:style w:type="character" w:styleId="ListLabel616" w:customStyle="1">
    <w:name w:val="ListLabel 616"/>
    <w:qFormat/>
    <w:rPr>
      <w:rFonts w:cs="Courier New"/>
    </w:rPr>
  </w:style>
  <w:style w:type="character" w:styleId="ListLabel617" w:customStyle="1">
    <w:name w:val="ListLabel 617"/>
    <w:qFormat/>
    <w:rPr>
      <w:rFonts w:cs="Wingdings"/>
    </w:rPr>
  </w:style>
  <w:style w:type="character" w:styleId="ListLabel618" w:customStyle="1">
    <w:name w:val="ListLabel 618"/>
    <w:qFormat/>
    <w:rPr>
      <w:rFonts w:cs="Symbol"/>
    </w:rPr>
  </w:style>
  <w:style w:type="character" w:styleId="ListLabel619" w:customStyle="1">
    <w:name w:val="ListLabel 619"/>
    <w:qFormat/>
    <w:rPr>
      <w:rFonts w:cs="Courier New"/>
    </w:rPr>
  </w:style>
  <w:style w:type="character" w:styleId="ListLabel620" w:customStyle="1">
    <w:name w:val="ListLabel 620"/>
    <w:qFormat/>
    <w:rPr>
      <w:rFonts w:cs="Wingdings"/>
    </w:rPr>
  </w:style>
  <w:style w:type="character" w:styleId="ListLabel621" w:customStyle="1">
    <w:name w:val="ListLabel 621"/>
    <w:qFormat/>
    <w:rPr>
      <w:rFonts w:cs="Symbol"/>
    </w:rPr>
  </w:style>
  <w:style w:type="character" w:styleId="ListLabel622" w:customStyle="1">
    <w:name w:val="ListLabel 622"/>
    <w:qFormat/>
    <w:rPr>
      <w:rFonts w:cs="Courier New"/>
    </w:rPr>
  </w:style>
  <w:style w:type="character" w:styleId="ListLabel623" w:customStyle="1">
    <w:name w:val="ListLabel 623"/>
    <w:qFormat/>
    <w:rPr>
      <w:rFonts w:cs="Wingdings"/>
    </w:rPr>
  </w:style>
  <w:style w:type="character" w:styleId="ListLabel624" w:customStyle="1">
    <w:name w:val="ListLabel 624"/>
    <w:qFormat/>
    <w:rPr>
      <w:rFonts w:cs="Symbol"/>
      <w:sz w:val="22"/>
    </w:rPr>
  </w:style>
  <w:style w:type="character" w:styleId="ListLabel625" w:customStyle="1">
    <w:name w:val="ListLabel 625"/>
    <w:qFormat/>
    <w:rPr>
      <w:rFonts w:cs="Courier New"/>
    </w:rPr>
  </w:style>
  <w:style w:type="character" w:styleId="ListLabel626" w:customStyle="1">
    <w:name w:val="ListLabel 626"/>
    <w:qFormat/>
    <w:rPr>
      <w:rFonts w:cs="Wingdings"/>
    </w:rPr>
  </w:style>
  <w:style w:type="character" w:styleId="ListLabel627" w:customStyle="1">
    <w:name w:val="ListLabel 627"/>
    <w:qFormat/>
    <w:rPr>
      <w:rFonts w:cs="Symbol"/>
    </w:rPr>
  </w:style>
  <w:style w:type="character" w:styleId="ListLabel628" w:customStyle="1">
    <w:name w:val="ListLabel 628"/>
    <w:qFormat/>
    <w:rPr>
      <w:rFonts w:cs="Courier New"/>
    </w:rPr>
  </w:style>
  <w:style w:type="character" w:styleId="ListLabel629" w:customStyle="1">
    <w:name w:val="ListLabel 629"/>
    <w:qFormat/>
    <w:rPr>
      <w:rFonts w:cs="Wingdings"/>
    </w:rPr>
  </w:style>
  <w:style w:type="character" w:styleId="ListLabel630" w:customStyle="1">
    <w:name w:val="ListLabel 630"/>
    <w:qFormat/>
    <w:rPr>
      <w:rFonts w:cs="Symbol"/>
    </w:rPr>
  </w:style>
  <w:style w:type="character" w:styleId="ListLabel631" w:customStyle="1">
    <w:name w:val="ListLabel 631"/>
    <w:qFormat/>
    <w:rPr>
      <w:rFonts w:cs="Courier New"/>
    </w:rPr>
  </w:style>
  <w:style w:type="character" w:styleId="ListLabel632" w:customStyle="1">
    <w:name w:val="ListLabel 632"/>
    <w:qFormat/>
    <w:rPr>
      <w:rFonts w:cs="Wingdings"/>
    </w:rPr>
  </w:style>
  <w:style w:type="character" w:styleId="ListLabel633" w:customStyle="1">
    <w:name w:val="ListLabel 633"/>
    <w:qFormat/>
    <w:rPr>
      <w:rFonts w:cs="OpenSymbol"/>
      <w:sz w:val="22"/>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sz w:val="22"/>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rPr>
  </w:style>
  <w:style w:type="character" w:styleId="ListLabel651" w:customStyle="1">
    <w:name w:val="ListLabel 651"/>
    <w:qFormat/>
    <w:rPr>
      <w:rFonts w:cs="OpenSymbol"/>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Symbol"/>
    </w:rPr>
  </w:style>
  <w:style w:type="character" w:styleId="ListLabel666" w:customStyle="1">
    <w:name w:val="ListLabel 666"/>
    <w:qFormat/>
    <w:rPr>
      <w:rFonts w:cs="Courier New"/>
    </w:rPr>
  </w:style>
  <w:style w:type="character" w:styleId="ListLabel667" w:customStyle="1">
    <w:name w:val="ListLabel 667"/>
    <w:qFormat/>
    <w:rPr>
      <w:rFonts w:cs="Wingdings"/>
    </w:rPr>
  </w:style>
  <w:style w:type="character" w:styleId="ListLabel668" w:customStyle="1">
    <w:name w:val="ListLabel 668"/>
    <w:qFormat/>
    <w:rPr>
      <w:rFonts w:cs="Symbol"/>
    </w:rPr>
  </w:style>
  <w:style w:type="character" w:styleId="ListLabel669" w:customStyle="1">
    <w:name w:val="ListLabel 669"/>
    <w:qFormat/>
    <w:rPr>
      <w:rFonts w:cs="Symbol"/>
    </w:rPr>
  </w:style>
  <w:style w:type="character" w:styleId="ListLabel670" w:customStyle="1">
    <w:name w:val="ListLabel 670"/>
    <w:qFormat/>
    <w:rPr>
      <w:rFonts w:cs="Wingdings"/>
    </w:rPr>
  </w:style>
  <w:style w:type="character" w:styleId="ListLabel671" w:customStyle="1">
    <w:name w:val="ListLabel 671"/>
    <w:qFormat/>
    <w:rPr>
      <w:rFonts w:cs="Symbol"/>
    </w:rPr>
  </w:style>
  <w:style w:type="character" w:styleId="ListLabel672" w:customStyle="1">
    <w:name w:val="ListLabel 672"/>
    <w:qFormat/>
    <w:rPr>
      <w:rFonts w:cs="Courier New"/>
    </w:rPr>
  </w:style>
  <w:style w:type="character" w:styleId="ListLabel673" w:customStyle="1">
    <w:name w:val="ListLabel 673"/>
    <w:qFormat/>
    <w:rPr>
      <w:rFonts w:cs="Wingdings"/>
    </w:rPr>
  </w:style>
  <w:style w:type="character" w:styleId="ListLabel674" w:customStyle="1">
    <w:name w:val="ListLabel 674"/>
    <w:qFormat/>
    <w:rPr>
      <w:rFonts w:cs="Symbol"/>
    </w:rPr>
  </w:style>
  <w:style w:type="character" w:styleId="ListLabel675" w:customStyle="1">
    <w:name w:val="ListLabel 675"/>
    <w:qFormat/>
    <w:rPr>
      <w:rFonts w:cs="Courier New"/>
    </w:rPr>
  </w:style>
  <w:style w:type="character" w:styleId="ListLabel676" w:customStyle="1">
    <w:name w:val="ListLabel 676"/>
    <w:qFormat/>
    <w:rPr>
      <w:rFonts w:cs="Wingdings"/>
    </w:rPr>
  </w:style>
  <w:style w:type="character" w:styleId="ListLabel677" w:customStyle="1">
    <w:name w:val="ListLabel 677"/>
    <w:qFormat/>
    <w:rPr>
      <w:rFonts w:cs="Symbol"/>
    </w:rPr>
  </w:style>
  <w:style w:type="character" w:styleId="ListLabel678" w:customStyle="1">
    <w:name w:val="ListLabel 678"/>
    <w:qFormat/>
    <w:rPr>
      <w:rFonts w:cs="Symbol"/>
    </w:rPr>
  </w:style>
  <w:style w:type="character" w:styleId="ListLabel679" w:customStyle="1">
    <w:name w:val="ListLabel 679"/>
    <w:qFormat/>
    <w:rPr>
      <w:rFonts w:cs="Courier New"/>
    </w:rPr>
  </w:style>
  <w:style w:type="character" w:styleId="ListLabel680" w:customStyle="1">
    <w:name w:val="ListLabel 680"/>
    <w:qFormat/>
    <w:rPr>
      <w:rFonts w:cs="Symbol"/>
      <w:sz w:val="20"/>
    </w:rPr>
  </w:style>
  <w:style w:type="character" w:styleId="ListLabel681" w:customStyle="1">
    <w:name w:val="ListLabel 681"/>
    <w:qFormat/>
    <w:rPr>
      <w:rFonts w:cs="Courier New"/>
    </w:rPr>
  </w:style>
  <w:style w:type="character" w:styleId="ListLabel682" w:customStyle="1">
    <w:name w:val="ListLabel 682"/>
    <w:qFormat/>
    <w:rPr>
      <w:rFonts w:cs="Wingdings"/>
    </w:rPr>
  </w:style>
  <w:style w:type="character" w:styleId="ListLabel683" w:customStyle="1">
    <w:name w:val="ListLabel 683"/>
    <w:qFormat/>
    <w:rPr>
      <w:rFonts w:cs="Symbol"/>
    </w:rPr>
  </w:style>
  <w:style w:type="character" w:styleId="ListLabel684" w:customStyle="1">
    <w:name w:val="ListLabel 684"/>
    <w:qFormat/>
    <w:rPr>
      <w:rFonts w:cs="Courier New"/>
    </w:rPr>
  </w:style>
  <w:style w:type="character" w:styleId="ListLabel685" w:customStyle="1">
    <w:name w:val="ListLabel 685"/>
    <w:qFormat/>
    <w:rPr>
      <w:rFonts w:cs="Wingdings"/>
    </w:rPr>
  </w:style>
  <w:style w:type="character" w:styleId="ListLabel686" w:customStyle="1">
    <w:name w:val="ListLabel 686"/>
    <w:qFormat/>
    <w:rPr>
      <w:rFonts w:cs="Symbol"/>
    </w:rPr>
  </w:style>
  <w:style w:type="character" w:styleId="ListLabel687" w:customStyle="1">
    <w:name w:val="ListLabel 687"/>
    <w:qFormat/>
    <w:rPr>
      <w:rFonts w:cs="Courier New"/>
    </w:rPr>
  </w:style>
  <w:style w:type="character" w:styleId="ListLabel688" w:customStyle="1">
    <w:name w:val="ListLabel 688"/>
    <w:qFormat/>
    <w:rPr>
      <w:rFonts w:cs="Wingdings"/>
    </w:rPr>
  </w:style>
  <w:style w:type="character" w:styleId="ListLabel689" w:customStyle="1">
    <w:name w:val="ListLabel 689"/>
    <w:qFormat/>
    <w:rPr>
      <w:rFonts w:cs="Symbol"/>
      <w:sz w:val="22"/>
    </w:rPr>
  </w:style>
  <w:style w:type="character" w:styleId="ListLabel690" w:customStyle="1">
    <w:name w:val="ListLabel 690"/>
    <w:qFormat/>
    <w:rPr>
      <w:rFonts w:cs="Courier New"/>
    </w:rPr>
  </w:style>
  <w:style w:type="character" w:styleId="ListLabel691" w:customStyle="1">
    <w:name w:val="ListLabel 691"/>
    <w:qFormat/>
    <w:rPr>
      <w:rFonts w:cs="Wingdings"/>
    </w:rPr>
  </w:style>
  <w:style w:type="character" w:styleId="ListLabel692" w:customStyle="1">
    <w:name w:val="ListLabel 692"/>
    <w:qFormat/>
    <w:rPr>
      <w:rFonts w:cs="Symbol"/>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OpenSymbol"/>
      <w:sz w:val="22"/>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rPr>
  </w:style>
  <w:style w:type="character" w:styleId="ListLabel707" w:customStyle="1">
    <w:name w:val="ListLabel 707"/>
    <w:qFormat/>
    <w:rPr>
      <w:b/>
    </w:rPr>
  </w:style>
  <w:style w:type="character" w:styleId="ListLabel708" w:customStyle="1">
    <w:name w:val="ListLabel 708"/>
    <w:qFormat/>
    <w:rPr>
      <w:i w:val="false"/>
    </w:rPr>
  </w:style>
  <w:style w:type="character" w:styleId="ListLabel709" w:customStyle="1">
    <w:name w:val="ListLabel 709"/>
    <w:qFormat/>
    <w:rPr>
      <w:rFonts w:cs="Symbol"/>
      <w:sz w:val="22"/>
    </w:rPr>
  </w:style>
  <w:style w:type="character" w:styleId="ListLabel710" w:customStyle="1">
    <w:name w:val="ListLabel 710"/>
    <w:qFormat/>
    <w:rPr>
      <w:rFonts w:cs="Courier New"/>
    </w:rPr>
  </w:style>
  <w:style w:type="character" w:styleId="ListLabel711" w:customStyle="1">
    <w:name w:val="ListLabel 711"/>
    <w:qFormat/>
    <w:rPr>
      <w:rFonts w:cs="Wingdings"/>
    </w:rPr>
  </w:style>
  <w:style w:type="character" w:styleId="ListLabel712" w:customStyle="1">
    <w:name w:val="ListLabel 712"/>
    <w:qFormat/>
    <w:rPr>
      <w:rFonts w:cs="Symbol"/>
    </w:rPr>
  </w:style>
  <w:style w:type="character" w:styleId="ListLabel713" w:customStyle="1">
    <w:name w:val="ListLabel 713"/>
    <w:qFormat/>
    <w:rPr>
      <w:rFonts w:cs="Courier New"/>
    </w:rPr>
  </w:style>
  <w:style w:type="character" w:styleId="ListLabel714" w:customStyle="1">
    <w:name w:val="ListLabel 714"/>
    <w:qFormat/>
    <w:rPr>
      <w:rFonts w:cs="Wingdings"/>
    </w:rPr>
  </w:style>
  <w:style w:type="character" w:styleId="ListLabel715" w:customStyle="1">
    <w:name w:val="ListLabel 715"/>
    <w:qFormat/>
    <w:rPr>
      <w:rFonts w:cs="Symbol"/>
    </w:rPr>
  </w:style>
  <w:style w:type="character" w:styleId="ListLabel716" w:customStyle="1">
    <w:name w:val="ListLabel 716"/>
    <w:qFormat/>
    <w:rPr>
      <w:rFonts w:cs="Courier New"/>
    </w:rPr>
  </w:style>
  <w:style w:type="character" w:styleId="ListLabel717" w:customStyle="1">
    <w:name w:val="ListLabel 717"/>
    <w:qFormat/>
    <w:rPr>
      <w:rFonts w:cs="Wingdings"/>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ascii="Calibri" w:hAnsi="Calibri" w:cs="Symbol"/>
    </w:rPr>
  </w:style>
  <w:style w:type="character" w:styleId="ListLabel737" w:customStyle="1">
    <w:name w:val="ListLabel 737"/>
    <w:qFormat/>
    <w:rPr>
      <w:rFonts w:cs="Courier New"/>
    </w:rPr>
  </w:style>
  <w:style w:type="character" w:styleId="ListLabel738" w:customStyle="1">
    <w:name w:val="ListLabel 738"/>
    <w:qFormat/>
    <w:rPr>
      <w:rFonts w:cs="Wingdings"/>
    </w:rPr>
  </w:style>
  <w:style w:type="character" w:styleId="ListLabel739" w:customStyle="1">
    <w:name w:val="ListLabel 739"/>
    <w:qFormat/>
    <w:rPr>
      <w:rFonts w:cs="Symbol"/>
    </w:rPr>
  </w:style>
  <w:style w:type="character" w:styleId="ListLabel740" w:customStyle="1">
    <w:name w:val="ListLabel 740"/>
    <w:qFormat/>
    <w:rPr>
      <w:rFonts w:cs="Courier New"/>
    </w:rPr>
  </w:style>
  <w:style w:type="character" w:styleId="ListLabel741" w:customStyle="1">
    <w:name w:val="ListLabel 741"/>
    <w:qFormat/>
    <w:rPr>
      <w:rFonts w:cs="Wingdings"/>
    </w:rPr>
  </w:style>
  <w:style w:type="character" w:styleId="ListLabel742" w:customStyle="1">
    <w:name w:val="ListLabel 742"/>
    <w:qFormat/>
    <w:rPr>
      <w:rFonts w:cs="Symbol"/>
    </w:rPr>
  </w:style>
  <w:style w:type="character" w:styleId="ListLabel743" w:customStyle="1">
    <w:name w:val="ListLabel 743"/>
    <w:qFormat/>
    <w:rPr>
      <w:rFonts w:cs="Courier New"/>
    </w:rPr>
  </w:style>
  <w:style w:type="character" w:styleId="ListLabel744" w:customStyle="1">
    <w:name w:val="ListLabel 744"/>
    <w:qFormat/>
    <w:rPr>
      <w:rFonts w:cs="Wingdings"/>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OpenSymbol"/>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OpenSymbol"/>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eastAsia="Times New Roman" w:cs="Trebuchet MS"/>
      <w:color w:val="000000"/>
      <w:sz w:val="24"/>
      <w:szCs w:val="24"/>
    </w:rPr>
  </w:style>
  <w:style w:type="character" w:styleId="ListLabel818" w:customStyle="1">
    <w:name w:val="ListLabel 818"/>
    <w:qFormat/>
    <w:rPr/>
  </w:style>
  <w:style w:type="character" w:styleId="ListLabel819" w:customStyle="1">
    <w:name w:val="ListLabel 819"/>
    <w:qFormat/>
    <w:rPr>
      <w:sz w:val="20"/>
    </w:rPr>
  </w:style>
  <w:style w:type="character" w:styleId="ListLabel820" w:customStyle="1">
    <w:name w:val="ListLabel 820"/>
    <w:qFormat/>
    <w:rPr>
      <w:sz w:val="16"/>
      <w:szCs w:val="16"/>
    </w:rPr>
  </w:style>
  <w:style w:type="character" w:styleId="ListLabel821" w:customStyle="1">
    <w:name w:val="ListLabel 821"/>
    <w:qFormat/>
    <w:rPr>
      <w:rFonts w:cs="Calibri"/>
      <w:color w:val="000000"/>
    </w:rPr>
  </w:style>
  <w:style w:type="character" w:styleId="ListLabel822" w:customStyle="1">
    <w:name w:val="ListLabel 822"/>
    <w:qFormat/>
    <w:rPr>
      <w:rFonts w:ascii="Arial" w:hAnsi="Arial" w:eastAsia="Times New Roman" w:cs="Arial"/>
      <w:sz w:val="18"/>
    </w:rPr>
  </w:style>
  <w:style w:type="character" w:styleId="ListLabel823" w:customStyle="1">
    <w:name w:val="ListLabel 823"/>
    <w:qFormat/>
    <w:rPr>
      <w:rFonts w:ascii="Arial" w:hAnsi="Arial" w:eastAsia="Times New Roman" w:cs="Arial"/>
      <w:b/>
      <w:bCs/>
      <w:sz w:val="18"/>
    </w:rPr>
  </w:style>
  <w:style w:type="character" w:styleId="ListLabel824" w:customStyle="1">
    <w:name w:val="ListLabel 824"/>
    <w:qFormat/>
    <w:rPr>
      <w:rFonts w:cs="Calibri"/>
    </w:rPr>
  </w:style>
  <w:style w:type="character" w:styleId="ListLabel825" w:customStyle="1">
    <w:name w:val="ListLabel 825"/>
    <w:qFormat/>
    <w:rPr>
      <w:rFonts w:cs="Calibri"/>
    </w:rPr>
  </w:style>
  <w:style w:type="character" w:styleId="ListLabel826" w:customStyle="1">
    <w:name w:val="ListLabel 826"/>
    <w:qFormat/>
    <w:rPr>
      <w:sz w:val="24"/>
      <w:szCs w:val="24"/>
    </w:rPr>
  </w:style>
  <w:style w:type="character" w:styleId="ListLabel827" w:customStyle="1">
    <w:name w:val="ListLabel 827"/>
    <w:qFormat/>
    <w:rPr>
      <w:b/>
      <w:bCs/>
      <w:i/>
      <w:sz w:val="28"/>
      <w:szCs w:val="28"/>
    </w:rPr>
  </w:style>
  <w:style w:type="character" w:styleId="ListLabel828" w:customStyle="1">
    <w:name w:val="ListLabel 828"/>
    <w:qFormat/>
    <w:rPr/>
  </w:style>
  <w:style w:type="character" w:styleId="ListLabel829" w:customStyle="1">
    <w:name w:val="ListLabel 829"/>
    <w:qFormat/>
    <w:rPr>
      <w:color w:val="000000" w:themeColor="text1"/>
      <w:highlight w:val="yellow"/>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Symbol"/>
    </w:rPr>
  </w:style>
  <w:style w:type="character" w:styleId="ListLabel837" w:customStyle="1">
    <w:name w:val="ListLabel 837"/>
    <w:qFormat/>
    <w:rPr>
      <w:rFonts w:cs="Courier New"/>
    </w:rPr>
  </w:style>
  <w:style w:type="character" w:styleId="ListLabel838" w:customStyle="1">
    <w:name w:val="ListLabel 838"/>
    <w:qFormat/>
    <w:rPr>
      <w:rFonts w:cs="Wingdings"/>
    </w:rPr>
  </w:style>
  <w:style w:type="character" w:styleId="ListLabel839" w:customStyle="1">
    <w:name w:val="ListLabel 839"/>
    <w:qFormat/>
    <w:rPr>
      <w:rFonts w:cs="Symbol"/>
      <w:sz w:val="20"/>
    </w:rPr>
  </w:style>
  <w:style w:type="character" w:styleId="ListLabel840" w:customStyle="1">
    <w:name w:val="ListLabel 840"/>
    <w:qFormat/>
    <w:rPr>
      <w:rFonts w:cs="Symbol"/>
    </w:rPr>
  </w:style>
  <w:style w:type="character" w:styleId="ListLabel841" w:customStyle="1">
    <w:name w:val="ListLabel 841"/>
    <w:qFormat/>
    <w:rPr>
      <w:rFonts w:cs="Courier New"/>
    </w:rPr>
  </w:style>
  <w:style w:type="character" w:styleId="ListLabel842" w:customStyle="1">
    <w:name w:val="ListLabel 842"/>
    <w:qFormat/>
    <w:rPr>
      <w:rFonts w:cs="Courier New"/>
    </w:rPr>
  </w:style>
  <w:style w:type="character" w:styleId="ListLabel843" w:customStyle="1">
    <w:name w:val="ListLabel 843"/>
    <w:qFormat/>
    <w:rPr>
      <w:rFonts w:cs="Wingdings"/>
    </w:rPr>
  </w:style>
  <w:style w:type="character" w:styleId="ListLabel844" w:customStyle="1">
    <w:name w:val="ListLabel 844"/>
    <w:qFormat/>
    <w:rPr>
      <w:rFonts w:cs="Symbol"/>
    </w:rPr>
  </w:style>
  <w:style w:type="character" w:styleId="ListLabel845" w:customStyle="1">
    <w:name w:val="ListLabel 845"/>
    <w:qFormat/>
    <w:rPr>
      <w:rFonts w:cs="Courier New"/>
    </w:rPr>
  </w:style>
  <w:style w:type="character" w:styleId="ListLabel846" w:customStyle="1">
    <w:name w:val="ListLabel 846"/>
    <w:qFormat/>
    <w:rPr>
      <w:rFonts w:cs="Wingdings"/>
    </w:rPr>
  </w:style>
  <w:style w:type="character" w:styleId="ListLabel847" w:customStyle="1">
    <w:name w:val="ListLabel 847"/>
    <w:qFormat/>
    <w:rPr>
      <w:rFonts w:cs="Symbol"/>
    </w:rPr>
  </w:style>
  <w:style w:type="character" w:styleId="ListLabel848" w:customStyle="1">
    <w:name w:val="ListLabel 848"/>
    <w:qFormat/>
    <w:rPr>
      <w:rFonts w:cs="Courier New"/>
    </w:rPr>
  </w:style>
  <w:style w:type="character" w:styleId="ListLabel849" w:customStyle="1">
    <w:name w:val="ListLabel 849"/>
    <w:qFormat/>
    <w:rPr>
      <w:rFonts w:cs="Wingdings"/>
    </w:rPr>
  </w:style>
  <w:style w:type="character" w:styleId="ListLabel850" w:customStyle="1">
    <w:name w:val="ListLabel 850"/>
    <w:qFormat/>
    <w:rPr>
      <w:rFonts w:cs="Symbol"/>
      <w:sz w:val="22"/>
    </w:rPr>
  </w:style>
  <w:style w:type="character" w:styleId="ListLabel851" w:customStyle="1">
    <w:name w:val="ListLabel 851"/>
    <w:qFormat/>
    <w:rPr>
      <w:rFonts w:cs="Courier New"/>
    </w:rPr>
  </w:style>
  <w:style w:type="character" w:styleId="ListLabel852" w:customStyle="1">
    <w:name w:val="ListLabel 852"/>
    <w:qFormat/>
    <w:rPr>
      <w:rFonts w:cs="Wingdings"/>
    </w:rPr>
  </w:style>
  <w:style w:type="character" w:styleId="ListLabel853" w:customStyle="1">
    <w:name w:val="ListLabel 853"/>
    <w:qFormat/>
    <w:rPr>
      <w:rFonts w:cs="Symbol"/>
    </w:rPr>
  </w:style>
  <w:style w:type="character" w:styleId="ListLabel854" w:customStyle="1">
    <w:name w:val="ListLabel 854"/>
    <w:qFormat/>
    <w:rPr>
      <w:rFonts w:cs="Courier New"/>
    </w:rPr>
  </w:style>
  <w:style w:type="character" w:styleId="ListLabel855" w:customStyle="1">
    <w:name w:val="ListLabel 855"/>
    <w:qFormat/>
    <w:rPr>
      <w:rFonts w:cs="Wingdings"/>
    </w:rPr>
  </w:style>
  <w:style w:type="character" w:styleId="ListLabel856" w:customStyle="1">
    <w:name w:val="ListLabel 856"/>
    <w:qFormat/>
    <w:rPr>
      <w:rFonts w:cs="Symbol"/>
    </w:rPr>
  </w:style>
  <w:style w:type="character" w:styleId="ListLabel857" w:customStyle="1">
    <w:name w:val="ListLabel 857"/>
    <w:qFormat/>
    <w:rPr>
      <w:rFonts w:cs="Courier New"/>
    </w:rPr>
  </w:style>
  <w:style w:type="character" w:styleId="ListLabel858" w:customStyle="1">
    <w:name w:val="ListLabel 858"/>
    <w:qFormat/>
    <w:rPr>
      <w:rFonts w:cs="Wingdings"/>
    </w:rPr>
  </w:style>
  <w:style w:type="character" w:styleId="ListLabel859" w:customStyle="1">
    <w:name w:val="ListLabel 859"/>
    <w:qFormat/>
    <w:rPr>
      <w:rFonts w:cs="OpenSymbol"/>
      <w:sz w:val="22"/>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sz w:val="22"/>
    </w:rPr>
  </w:style>
  <w:style w:type="character" w:styleId="ListLabel869" w:customStyle="1">
    <w:name w:val="ListLabel 869"/>
    <w:qFormat/>
    <w:rPr>
      <w:rFonts w:cs="OpenSymbol"/>
    </w:rPr>
  </w:style>
  <w:style w:type="character" w:styleId="ListLabel870" w:customStyle="1">
    <w:name w:val="ListLabel 870"/>
    <w:qFormat/>
    <w:rPr>
      <w:rFonts w:cs="OpenSymbol"/>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Symbol"/>
    </w:rPr>
  </w:style>
  <w:style w:type="character" w:styleId="ListLabel886" w:customStyle="1">
    <w:name w:val="ListLabel 886"/>
    <w:qFormat/>
    <w:rPr>
      <w:rFonts w:cs="Courier New"/>
    </w:rPr>
  </w:style>
  <w:style w:type="character" w:styleId="ListLabel887" w:customStyle="1">
    <w:name w:val="ListLabel 887"/>
    <w:qFormat/>
    <w:rPr>
      <w:rFonts w:cs="Wingdings"/>
    </w:rPr>
  </w:style>
  <w:style w:type="character" w:styleId="ListLabel888" w:customStyle="1">
    <w:name w:val="ListLabel 888"/>
    <w:qFormat/>
    <w:rPr>
      <w:rFonts w:cs="Symbol"/>
    </w:rPr>
  </w:style>
  <w:style w:type="character" w:styleId="ListLabel889" w:customStyle="1">
    <w:name w:val="ListLabel 889"/>
    <w:qFormat/>
    <w:rPr>
      <w:rFonts w:cs="Courier New"/>
    </w:rPr>
  </w:style>
  <w:style w:type="character" w:styleId="ListLabel890" w:customStyle="1">
    <w:name w:val="ListLabel 890"/>
    <w:qFormat/>
    <w:rPr>
      <w:rFonts w:cs="Wingdings"/>
    </w:rPr>
  </w:style>
  <w:style w:type="character" w:styleId="ListLabel891" w:customStyle="1">
    <w:name w:val="ListLabel 891"/>
    <w:qFormat/>
    <w:rPr>
      <w:rFonts w:cs="Symbol"/>
    </w:rPr>
  </w:style>
  <w:style w:type="character" w:styleId="ListLabel892" w:customStyle="1">
    <w:name w:val="ListLabel 892"/>
    <w:qFormat/>
    <w:rPr>
      <w:rFonts w:cs="Courier New"/>
    </w:rPr>
  </w:style>
  <w:style w:type="character" w:styleId="ListLabel893" w:customStyle="1">
    <w:name w:val="ListLabel 893"/>
    <w:qFormat/>
    <w:rPr>
      <w:rFonts w:cs="Wingdings"/>
    </w:rPr>
  </w:style>
  <w:style w:type="character" w:styleId="ListLabel894" w:customStyle="1">
    <w:name w:val="ListLabel 894"/>
    <w:qFormat/>
    <w:rPr>
      <w:rFonts w:cs="Symbol"/>
    </w:rPr>
  </w:style>
  <w:style w:type="character" w:styleId="ListLabel895" w:customStyle="1">
    <w:name w:val="ListLabel 895"/>
    <w:qFormat/>
    <w:rPr>
      <w:rFonts w:cs="Symbol"/>
    </w:rPr>
  </w:style>
  <w:style w:type="character" w:styleId="ListLabel896" w:customStyle="1">
    <w:name w:val="ListLabel 896"/>
    <w:qFormat/>
    <w:rPr>
      <w:rFonts w:cs="Wingdings"/>
    </w:rPr>
  </w:style>
  <w:style w:type="character" w:styleId="ListLabel897" w:customStyle="1">
    <w:name w:val="ListLabel 897"/>
    <w:qFormat/>
    <w:rPr>
      <w:rFonts w:cs="Symbol"/>
    </w:rPr>
  </w:style>
  <w:style w:type="character" w:styleId="ListLabel898" w:customStyle="1">
    <w:name w:val="ListLabel 898"/>
    <w:qFormat/>
    <w:rPr>
      <w:rFonts w:cs="Courier New"/>
    </w:rPr>
  </w:style>
  <w:style w:type="character" w:styleId="ListLabel899" w:customStyle="1">
    <w:name w:val="ListLabel 899"/>
    <w:qFormat/>
    <w:rPr>
      <w:rFonts w:cs="Wingdings"/>
    </w:rPr>
  </w:style>
  <w:style w:type="character" w:styleId="ListLabel900" w:customStyle="1">
    <w:name w:val="ListLabel 900"/>
    <w:qFormat/>
    <w:rPr>
      <w:rFonts w:cs="Symbol"/>
    </w:rPr>
  </w:style>
  <w:style w:type="character" w:styleId="ListLabel901" w:customStyle="1">
    <w:name w:val="ListLabel 901"/>
    <w:qFormat/>
    <w:rPr>
      <w:rFonts w:cs="Courier New"/>
    </w:rPr>
  </w:style>
  <w:style w:type="character" w:styleId="ListLabel902" w:customStyle="1">
    <w:name w:val="ListLabel 902"/>
    <w:qFormat/>
    <w:rPr>
      <w:rFonts w:cs="Wingdings"/>
    </w:rPr>
  </w:style>
  <w:style w:type="character" w:styleId="ListLabel903" w:customStyle="1">
    <w:name w:val="ListLabel 903"/>
    <w:qFormat/>
    <w:rPr>
      <w:rFonts w:cs="Symbol"/>
    </w:rPr>
  </w:style>
  <w:style w:type="character" w:styleId="ListLabel904" w:customStyle="1">
    <w:name w:val="ListLabel 904"/>
    <w:qFormat/>
    <w:rPr>
      <w:rFonts w:cs="Symbol"/>
    </w:rPr>
  </w:style>
  <w:style w:type="character" w:styleId="ListLabel905" w:customStyle="1">
    <w:name w:val="ListLabel 905"/>
    <w:qFormat/>
    <w:rPr>
      <w:rFonts w:cs="Courier New"/>
    </w:rPr>
  </w:style>
  <w:style w:type="character" w:styleId="ListLabel906" w:customStyle="1">
    <w:name w:val="ListLabel 906"/>
    <w:qFormat/>
    <w:rPr>
      <w:rFonts w:cs="Symbol"/>
      <w:sz w:val="20"/>
    </w:rPr>
  </w:style>
  <w:style w:type="character" w:styleId="ListLabel907" w:customStyle="1">
    <w:name w:val="ListLabel 907"/>
    <w:qFormat/>
    <w:rPr>
      <w:rFonts w:cs="Courier New"/>
    </w:rPr>
  </w:style>
  <w:style w:type="character" w:styleId="ListLabel908" w:customStyle="1">
    <w:name w:val="ListLabel 908"/>
    <w:qFormat/>
    <w:rPr>
      <w:rFonts w:cs="Wingdings"/>
    </w:rPr>
  </w:style>
  <w:style w:type="character" w:styleId="ListLabel909" w:customStyle="1">
    <w:name w:val="ListLabel 909"/>
    <w:qFormat/>
    <w:rPr>
      <w:rFonts w:cs="Symbol"/>
    </w:rPr>
  </w:style>
  <w:style w:type="character" w:styleId="ListLabel910" w:customStyle="1">
    <w:name w:val="ListLabel 910"/>
    <w:qFormat/>
    <w:rPr>
      <w:rFonts w:cs="Courier New"/>
    </w:rPr>
  </w:style>
  <w:style w:type="character" w:styleId="ListLabel911" w:customStyle="1">
    <w:name w:val="ListLabel 911"/>
    <w:qFormat/>
    <w:rPr>
      <w:rFonts w:cs="Wingdings"/>
    </w:rPr>
  </w:style>
  <w:style w:type="character" w:styleId="ListLabel912" w:customStyle="1">
    <w:name w:val="ListLabel 912"/>
    <w:qFormat/>
    <w:rPr>
      <w:rFonts w:cs="Symbol"/>
    </w:rPr>
  </w:style>
  <w:style w:type="character" w:styleId="ListLabel913" w:customStyle="1">
    <w:name w:val="ListLabel 913"/>
    <w:qFormat/>
    <w:rPr>
      <w:rFonts w:cs="Courier New"/>
    </w:rPr>
  </w:style>
  <w:style w:type="character" w:styleId="ListLabel914" w:customStyle="1">
    <w:name w:val="ListLabel 914"/>
    <w:qFormat/>
    <w:rPr>
      <w:rFonts w:cs="Wingdings"/>
    </w:rPr>
  </w:style>
  <w:style w:type="character" w:styleId="ListLabel915" w:customStyle="1">
    <w:name w:val="ListLabel 915"/>
    <w:qFormat/>
    <w:rPr>
      <w:rFonts w:cs="Symbol"/>
      <w:sz w:val="22"/>
    </w:rPr>
  </w:style>
  <w:style w:type="character" w:styleId="ListLabel916" w:customStyle="1">
    <w:name w:val="ListLabel 916"/>
    <w:qFormat/>
    <w:rPr>
      <w:rFonts w:cs="Courier New"/>
    </w:rPr>
  </w:style>
  <w:style w:type="character" w:styleId="ListLabel917" w:customStyle="1">
    <w:name w:val="ListLabel 917"/>
    <w:qFormat/>
    <w:rPr>
      <w:rFonts w:cs="Wingdings"/>
    </w:rPr>
  </w:style>
  <w:style w:type="character" w:styleId="ListLabel918" w:customStyle="1">
    <w:name w:val="ListLabel 918"/>
    <w:qFormat/>
    <w:rPr>
      <w:rFonts w:cs="Symbol"/>
    </w:rPr>
  </w:style>
  <w:style w:type="character" w:styleId="ListLabel919" w:customStyle="1">
    <w:name w:val="ListLabel 919"/>
    <w:qFormat/>
    <w:rPr>
      <w:rFonts w:cs="Courier New"/>
    </w:rPr>
  </w:style>
  <w:style w:type="character" w:styleId="ListLabel920" w:customStyle="1">
    <w:name w:val="ListLabel 920"/>
    <w:qFormat/>
    <w:rPr>
      <w:rFonts w:cs="Wingdings"/>
    </w:rPr>
  </w:style>
  <w:style w:type="character" w:styleId="ListLabel921" w:customStyle="1">
    <w:name w:val="ListLabel 921"/>
    <w:qFormat/>
    <w:rPr>
      <w:rFonts w:cs="Symbol"/>
    </w:rPr>
  </w:style>
  <w:style w:type="character" w:styleId="ListLabel922" w:customStyle="1">
    <w:name w:val="ListLabel 922"/>
    <w:qFormat/>
    <w:rPr>
      <w:rFonts w:cs="Courier New"/>
    </w:rPr>
  </w:style>
  <w:style w:type="character" w:styleId="ListLabel923" w:customStyle="1">
    <w:name w:val="ListLabel 923"/>
    <w:qFormat/>
    <w:rPr>
      <w:rFonts w:cs="Wingdings"/>
    </w:rPr>
  </w:style>
  <w:style w:type="character" w:styleId="ListLabel924" w:customStyle="1">
    <w:name w:val="ListLabel 924"/>
    <w:qFormat/>
    <w:rPr>
      <w:rFonts w:cs="OpenSymbol"/>
      <w:sz w:val="22"/>
    </w:rPr>
  </w:style>
  <w:style w:type="character" w:styleId="ListLabel925" w:customStyle="1">
    <w:name w:val="ListLabel 925"/>
    <w:qFormat/>
    <w:rPr>
      <w:rFonts w:cs="OpenSymbol"/>
    </w:rPr>
  </w:style>
  <w:style w:type="character" w:styleId="ListLabel926" w:customStyle="1">
    <w:name w:val="ListLabel 926"/>
    <w:qFormat/>
    <w:rPr>
      <w:rFonts w:cs="OpenSymbol"/>
    </w:rPr>
  </w:style>
  <w:style w:type="character" w:styleId="ListLabel927" w:customStyle="1">
    <w:name w:val="ListLabel 927"/>
    <w:qFormat/>
    <w:rPr>
      <w:rFonts w:cs="OpenSymbol"/>
    </w:rPr>
  </w:style>
  <w:style w:type="character" w:styleId="ListLabel928" w:customStyle="1">
    <w:name w:val="ListLabel 928"/>
    <w:qFormat/>
    <w:rPr>
      <w:rFonts w:cs="OpenSymbol"/>
    </w:rPr>
  </w:style>
  <w:style w:type="character" w:styleId="ListLabel929" w:customStyle="1">
    <w:name w:val="ListLabel 929"/>
    <w:qFormat/>
    <w:rPr>
      <w:rFonts w:cs="OpenSymbol"/>
    </w:rPr>
  </w:style>
  <w:style w:type="character" w:styleId="ListLabel930" w:customStyle="1">
    <w:name w:val="ListLabel 930"/>
    <w:qFormat/>
    <w:rPr>
      <w:rFonts w:cs="OpenSymbol"/>
    </w:rPr>
  </w:style>
  <w:style w:type="character" w:styleId="ListLabel931" w:customStyle="1">
    <w:name w:val="ListLabel 931"/>
    <w:qFormat/>
    <w:rPr>
      <w:rFonts w:cs="OpenSymbol"/>
    </w:rPr>
  </w:style>
  <w:style w:type="character" w:styleId="ListLabel932" w:customStyle="1">
    <w:name w:val="ListLabel 932"/>
    <w:qFormat/>
    <w:rPr>
      <w:rFonts w:cs="OpenSymbol"/>
    </w:rPr>
  </w:style>
  <w:style w:type="character" w:styleId="ListLabel933" w:customStyle="1">
    <w:name w:val="ListLabel 933"/>
    <w:qFormat/>
    <w:rPr>
      <w:b/>
    </w:rPr>
  </w:style>
  <w:style w:type="character" w:styleId="ListLabel934" w:customStyle="1">
    <w:name w:val="ListLabel 934"/>
    <w:qFormat/>
    <w:rPr>
      <w:i w:val="false"/>
    </w:rPr>
  </w:style>
  <w:style w:type="character" w:styleId="ListLabel935" w:customStyle="1">
    <w:name w:val="ListLabel 935"/>
    <w:qFormat/>
    <w:rPr>
      <w:rFonts w:cs="Symbol"/>
      <w:sz w:val="22"/>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Symbol"/>
    </w:rPr>
  </w:style>
  <w:style w:type="character" w:styleId="ListLabel942" w:customStyle="1">
    <w:name w:val="ListLabel 942"/>
    <w:qFormat/>
    <w:rPr>
      <w:rFonts w:cs="Courier New"/>
    </w:rPr>
  </w:style>
  <w:style w:type="character" w:styleId="ListLabel943" w:customStyle="1">
    <w:name w:val="ListLabel 943"/>
    <w:qFormat/>
    <w:rPr>
      <w:rFonts w:cs="Wingdings"/>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ascii="Calibri" w:hAnsi="Calibri" w:cs="Symbol"/>
    </w:rPr>
  </w:style>
  <w:style w:type="character" w:styleId="ListLabel963" w:customStyle="1">
    <w:name w:val="ListLabel 963"/>
    <w:qFormat/>
    <w:rPr>
      <w:rFonts w:cs="Courier New"/>
    </w:rPr>
  </w:style>
  <w:style w:type="character" w:styleId="ListLabel964" w:customStyle="1">
    <w:name w:val="ListLabel 964"/>
    <w:qFormat/>
    <w:rPr>
      <w:rFonts w:cs="Wingdings"/>
    </w:rPr>
  </w:style>
  <w:style w:type="character" w:styleId="ListLabel965" w:customStyle="1">
    <w:name w:val="ListLabel 965"/>
    <w:qFormat/>
    <w:rPr>
      <w:rFonts w:cs="Symbol"/>
    </w:rPr>
  </w:style>
  <w:style w:type="character" w:styleId="ListLabel966" w:customStyle="1">
    <w:name w:val="ListLabel 966"/>
    <w:qFormat/>
    <w:rPr>
      <w:rFonts w:cs="Courier New"/>
    </w:rPr>
  </w:style>
  <w:style w:type="character" w:styleId="ListLabel967" w:customStyle="1">
    <w:name w:val="ListLabel 967"/>
    <w:qFormat/>
    <w:rPr>
      <w:rFonts w:cs="Wingdings"/>
    </w:rPr>
  </w:style>
  <w:style w:type="character" w:styleId="ListLabel968" w:customStyle="1">
    <w:name w:val="ListLabel 968"/>
    <w:qFormat/>
    <w:rPr>
      <w:rFonts w:cs="Symbol"/>
    </w:rPr>
  </w:style>
  <w:style w:type="character" w:styleId="ListLabel969" w:customStyle="1">
    <w:name w:val="ListLabel 969"/>
    <w:qFormat/>
    <w:rPr>
      <w:rFonts w:cs="Courier New"/>
    </w:rPr>
  </w:style>
  <w:style w:type="character" w:styleId="ListLabel970" w:customStyle="1">
    <w:name w:val="ListLabel 970"/>
    <w:qFormat/>
    <w:rPr>
      <w:rFonts w:cs="Wingdings"/>
    </w:rPr>
  </w:style>
  <w:style w:type="character" w:styleId="ListLabel971" w:customStyle="1">
    <w:name w:val="ListLabel 971"/>
    <w:qFormat/>
    <w:rPr>
      <w:rFonts w:cs="OpenSymbol"/>
    </w:rPr>
  </w:style>
  <w:style w:type="character" w:styleId="ListLabel972" w:customStyle="1">
    <w:name w:val="ListLabel 972"/>
    <w:qFormat/>
    <w:rPr>
      <w:rFonts w:cs="OpenSymbol"/>
    </w:rPr>
  </w:style>
  <w:style w:type="character" w:styleId="ListLabel973" w:customStyle="1">
    <w:name w:val="ListLabel 973"/>
    <w:qFormat/>
    <w:rPr>
      <w:rFonts w:cs="OpenSymbol"/>
    </w:rPr>
  </w:style>
  <w:style w:type="character" w:styleId="ListLabel974" w:customStyle="1">
    <w:name w:val="ListLabel 974"/>
    <w:qFormat/>
    <w:rPr>
      <w:rFonts w:cs="OpenSymbol"/>
    </w:rPr>
  </w:style>
  <w:style w:type="character" w:styleId="ListLabel975" w:customStyle="1">
    <w:name w:val="ListLabel 975"/>
    <w:qFormat/>
    <w:rPr>
      <w:rFonts w:cs="OpenSymbol"/>
    </w:rPr>
  </w:style>
  <w:style w:type="character" w:styleId="ListLabel976" w:customStyle="1">
    <w:name w:val="ListLabel 976"/>
    <w:qFormat/>
    <w:rPr>
      <w:rFonts w:cs="OpenSymbol"/>
    </w:rPr>
  </w:style>
  <w:style w:type="character" w:styleId="ListLabel977" w:customStyle="1">
    <w:name w:val="ListLabel 977"/>
    <w:qFormat/>
    <w:rPr>
      <w:rFonts w:cs="OpenSymbol"/>
    </w:rPr>
  </w:style>
  <w:style w:type="character" w:styleId="ListLabel978" w:customStyle="1">
    <w:name w:val="ListLabel 978"/>
    <w:qFormat/>
    <w:rPr>
      <w:rFonts w:cs="OpenSymbol"/>
    </w:rPr>
  </w:style>
  <w:style w:type="character" w:styleId="ListLabel979" w:customStyle="1">
    <w:name w:val="ListLabel 979"/>
    <w:qFormat/>
    <w:rPr>
      <w:rFonts w:cs="OpenSymbol"/>
    </w:rPr>
  </w:style>
  <w:style w:type="character" w:styleId="ListLabel980" w:customStyle="1">
    <w:name w:val="ListLabel 980"/>
    <w:qFormat/>
    <w:rPr>
      <w:rFonts w:cs="OpenSymbol"/>
    </w:rPr>
  </w:style>
  <w:style w:type="character" w:styleId="ListLabel981" w:customStyle="1">
    <w:name w:val="ListLabel 981"/>
    <w:qFormat/>
    <w:rPr>
      <w:rFonts w:cs="OpenSymbol"/>
    </w:rPr>
  </w:style>
  <w:style w:type="character" w:styleId="ListLabel982" w:customStyle="1">
    <w:name w:val="ListLabel 982"/>
    <w:qFormat/>
    <w:rPr>
      <w:rFonts w:cs="OpenSymbol"/>
    </w:rPr>
  </w:style>
  <w:style w:type="character" w:styleId="ListLabel983" w:customStyle="1">
    <w:name w:val="ListLabel 983"/>
    <w:qFormat/>
    <w:rPr>
      <w:rFonts w:cs="OpenSymbol"/>
    </w:rPr>
  </w:style>
  <w:style w:type="character" w:styleId="ListLabel984" w:customStyle="1">
    <w:name w:val="ListLabel 984"/>
    <w:qFormat/>
    <w:rPr>
      <w:rFonts w:cs="OpenSymbol"/>
    </w:rPr>
  </w:style>
  <w:style w:type="character" w:styleId="ListLabel985" w:customStyle="1">
    <w:name w:val="ListLabel 985"/>
    <w:qFormat/>
    <w:rPr>
      <w:rFonts w:cs="OpenSymbol"/>
    </w:rPr>
  </w:style>
  <w:style w:type="character" w:styleId="ListLabel986" w:customStyle="1">
    <w:name w:val="ListLabel 986"/>
    <w:qFormat/>
    <w:rPr>
      <w:rFonts w:cs="OpenSymbol"/>
    </w:rPr>
  </w:style>
  <w:style w:type="character" w:styleId="ListLabel987" w:customStyle="1">
    <w:name w:val="ListLabel 987"/>
    <w:qFormat/>
    <w:rPr>
      <w:rFonts w:cs="OpenSymbol"/>
    </w:rPr>
  </w:style>
  <w:style w:type="character" w:styleId="ListLabel988" w:customStyle="1">
    <w:name w:val="ListLabel 988"/>
    <w:qFormat/>
    <w:rPr>
      <w:rFonts w:cs="OpenSymbol"/>
    </w:rPr>
  </w:style>
  <w:style w:type="character" w:styleId="ListLabel989" w:customStyle="1">
    <w:name w:val="ListLabel 989"/>
    <w:qFormat/>
    <w:rPr>
      <w:rFonts w:cs="OpenSymbol"/>
    </w:rPr>
  </w:style>
  <w:style w:type="character" w:styleId="ListLabel990" w:customStyle="1">
    <w:name w:val="ListLabel 990"/>
    <w:qFormat/>
    <w:rPr>
      <w:rFonts w:cs="OpenSymbol"/>
    </w:rPr>
  </w:style>
  <w:style w:type="character" w:styleId="ListLabel991" w:customStyle="1">
    <w:name w:val="ListLabel 991"/>
    <w:qFormat/>
    <w:rPr>
      <w:rFonts w:cs="OpenSymbol"/>
    </w:rPr>
  </w:style>
  <w:style w:type="character" w:styleId="ListLabel992" w:customStyle="1">
    <w:name w:val="ListLabel 992"/>
    <w:qFormat/>
    <w:rPr>
      <w:rFonts w:cs="OpenSymbol"/>
    </w:rPr>
  </w:style>
  <w:style w:type="character" w:styleId="ListLabel993" w:customStyle="1">
    <w:name w:val="ListLabel 993"/>
    <w:qFormat/>
    <w:rPr>
      <w:rFonts w:cs="OpenSymbol"/>
    </w:rPr>
  </w:style>
  <w:style w:type="character" w:styleId="ListLabel994" w:customStyle="1">
    <w:name w:val="ListLabel 994"/>
    <w:qFormat/>
    <w:rPr>
      <w:rFonts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OpenSymbol"/>
    </w:rPr>
  </w:style>
  <w:style w:type="character" w:styleId="ListLabel1003" w:customStyle="1">
    <w:name w:val="ListLabel 1003"/>
    <w:qFormat/>
    <w:rPr>
      <w:rFonts w:cs="OpenSymbol"/>
    </w:rPr>
  </w:style>
  <w:style w:type="character" w:styleId="ListLabel1004" w:customStyle="1">
    <w:name w:val="ListLabel 1004"/>
    <w:qFormat/>
    <w:rPr>
      <w:rFonts w:cs="OpenSymbol"/>
    </w:rPr>
  </w:style>
  <w:style w:type="character" w:styleId="ListLabel1005" w:customStyle="1">
    <w:name w:val="ListLabel 1005"/>
    <w:qFormat/>
    <w:rPr>
      <w:rFonts w:cs="OpenSymbol"/>
    </w:rPr>
  </w:style>
  <w:style w:type="character" w:styleId="ListLabel1006" w:customStyle="1">
    <w:name w:val="ListLabel 1006"/>
    <w:qFormat/>
    <w:rPr>
      <w:rFonts w:cs="OpenSymbol"/>
    </w:rPr>
  </w:style>
  <w:style w:type="character" w:styleId="ListLabel1007" w:customStyle="1">
    <w:name w:val="ListLabel 1007"/>
    <w:qFormat/>
    <w:rPr>
      <w:rFonts w:cs="OpenSymbol"/>
    </w:rPr>
  </w:style>
  <w:style w:type="character" w:styleId="ListLabel1008" w:customStyle="1">
    <w:name w:val="ListLabel 1008"/>
    <w:qFormat/>
    <w:rPr>
      <w:rFonts w:cs="OpenSymbol"/>
    </w:rPr>
  </w:style>
  <w:style w:type="character" w:styleId="ListLabel1009" w:customStyle="1">
    <w:name w:val="ListLabel 1009"/>
    <w:qFormat/>
    <w:rPr>
      <w:rFonts w:cs="OpenSymbol"/>
    </w:rPr>
  </w:style>
  <w:style w:type="character" w:styleId="ListLabel1010" w:customStyle="1">
    <w:name w:val="ListLabel 1010"/>
    <w:qFormat/>
    <w:rPr>
      <w:rFonts w:cs="OpenSymbol"/>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cs="OpenSymbol"/>
    </w:rPr>
  </w:style>
  <w:style w:type="character" w:styleId="ListLabel1015" w:customStyle="1">
    <w:name w:val="ListLabel 1015"/>
    <w:qFormat/>
    <w:rPr>
      <w:rFonts w:cs="OpenSymbol"/>
    </w:rPr>
  </w:style>
  <w:style w:type="character" w:styleId="ListLabel1016" w:customStyle="1">
    <w:name w:val="ListLabel 1016"/>
    <w:qFormat/>
    <w:rPr>
      <w:rFonts w:cs="OpenSymbol"/>
    </w:rPr>
  </w:style>
  <w:style w:type="character" w:styleId="ListLabel1017" w:customStyle="1">
    <w:name w:val="ListLabel 1017"/>
    <w:qFormat/>
    <w:rPr>
      <w:rFonts w:cs="OpenSymbol"/>
    </w:rPr>
  </w:style>
  <w:style w:type="character" w:styleId="ListLabel1018" w:customStyle="1">
    <w:name w:val="ListLabel 1018"/>
    <w:qFormat/>
    <w:rPr>
      <w:rFonts w:cs="OpenSymbol"/>
    </w:rPr>
  </w:style>
  <w:style w:type="character" w:styleId="ListLabel1019" w:customStyle="1">
    <w:name w:val="ListLabel 1019"/>
    <w:qFormat/>
    <w:rPr>
      <w:rFonts w:cs="OpenSymbol"/>
    </w:rPr>
  </w:style>
  <w:style w:type="character" w:styleId="ListLabel1020" w:customStyle="1">
    <w:name w:val="ListLabel 1020"/>
    <w:qFormat/>
    <w:rPr>
      <w:rFonts w:cs="OpenSymbol"/>
    </w:rPr>
  </w:style>
  <w:style w:type="character" w:styleId="ListLabel1021" w:customStyle="1">
    <w:name w:val="ListLabel 1021"/>
    <w:qFormat/>
    <w:rPr>
      <w:rFonts w:cs="OpenSymbol"/>
    </w:rPr>
  </w:style>
  <w:style w:type="character" w:styleId="ListLabel1022" w:customStyle="1">
    <w:name w:val="ListLabel 1022"/>
    <w:qFormat/>
    <w:rPr>
      <w:rFonts w:cs="OpenSymbol"/>
    </w:rPr>
  </w:style>
  <w:style w:type="character" w:styleId="ListLabel1023" w:customStyle="1">
    <w:name w:val="ListLabel 1023"/>
    <w:qFormat/>
    <w:rPr>
      <w:rFonts w:cs="OpenSymbol"/>
    </w:rPr>
  </w:style>
  <w:style w:type="character" w:styleId="ListLabel1024" w:customStyle="1">
    <w:name w:val="ListLabel 1024"/>
    <w:qFormat/>
    <w:rPr>
      <w:rFonts w:cs="OpenSymbol"/>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cs="OpenSymbol"/>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OpenSymbol"/>
    </w:rPr>
  </w:style>
  <w:style w:type="character" w:styleId="ListLabel1031" w:customStyle="1">
    <w:name w:val="ListLabel 1031"/>
    <w:qFormat/>
    <w:rPr>
      <w:rFonts w:cs="OpenSymbol"/>
    </w:rPr>
  </w:style>
  <w:style w:type="character" w:styleId="ListLabel1032" w:customStyle="1">
    <w:name w:val="ListLabel 1032"/>
    <w:qFormat/>
    <w:rPr>
      <w:rFonts w:cs="OpenSymbol"/>
    </w:rPr>
  </w:style>
  <w:style w:type="character" w:styleId="ListLabel1033" w:customStyle="1">
    <w:name w:val="ListLabel 1033"/>
    <w:qFormat/>
    <w:rPr>
      <w:rFonts w:cs="OpenSymbol"/>
    </w:rPr>
  </w:style>
  <w:style w:type="character" w:styleId="ListLabel1034" w:customStyle="1">
    <w:name w:val="ListLabel 1034"/>
    <w:qFormat/>
    <w:rPr>
      <w:rFonts w:cs="OpenSymbol"/>
    </w:rPr>
  </w:style>
  <w:style w:type="character" w:styleId="ListLabel1035" w:customStyle="1">
    <w:name w:val="ListLabel 1035"/>
    <w:qFormat/>
    <w:rPr>
      <w:rFonts w:cs="OpenSymbol"/>
    </w:rPr>
  </w:style>
  <w:style w:type="character" w:styleId="ListLabel1036" w:customStyle="1">
    <w:name w:val="ListLabel 1036"/>
    <w:qFormat/>
    <w:rPr>
      <w:rFonts w:cs="OpenSymbol"/>
    </w:rPr>
  </w:style>
  <w:style w:type="character" w:styleId="ListLabel1037" w:customStyle="1">
    <w:name w:val="ListLabel 1037"/>
    <w:qFormat/>
    <w:rPr>
      <w:rFonts w:cs="OpenSymbol"/>
    </w:rPr>
  </w:style>
  <w:style w:type="character" w:styleId="ListLabel1038" w:customStyle="1">
    <w:name w:val="ListLabel 1038"/>
    <w:qFormat/>
    <w:rPr>
      <w:rFonts w:cs="OpenSymbol"/>
    </w:rPr>
  </w:style>
  <w:style w:type="character" w:styleId="ListLabel1039" w:customStyle="1">
    <w:name w:val="ListLabel 1039"/>
    <w:qFormat/>
    <w:rPr>
      <w:rFonts w:cs="OpenSymbol"/>
    </w:rPr>
  </w:style>
  <w:style w:type="character" w:styleId="ListLabel1040" w:customStyle="1">
    <w:name w:val="ListLabel 1040"/>
    <w:qFormat/>
    <w:rPr>
      <w:rFonts w:cs="OpenSymbol"/>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eastAsia="Times New Roman" w:cs="Trebuchet MS"/>
      <w:color w:val="000000"/>
      <w:sz w:val="24"/>
      <w:szCs w:val="24"/>
    </w:rPr>
  </w:style>
  <w:style w:type="character" w:styleId="ListLabel1044" w:customStyle="1">
    <w:name w:val="ListLabel 1044"/>
    <w:qFormat/>
    <w:rPr/>
  </w:style>
  <w:style w:type="character" w:styleId="ListLabel1045" w:customStyle="1">
    <w:name w:val="ListLabel 1045"/>
    <w:qFormat/>
    <w:rPr>
      <w:sz w:val="20"/>
    </w:rPr>
  </w:style>
  <w:style w:type="character" w:styleId="ListLabel1046" w:customStyle="1">
    <w:name w:val="ListLabel 1046"/>
    <w:qFormat/>
    <w:rPr>
      <w:sz w:val="16"/>
      <w:szCs w:val="16"/>
    </w:rPr>
  </w:style>
  <w:style w:type="character" w:styleId="ListLabel1047" w:customStyle="1">
    <w:name w:val="ListLabel 1047"/>
    <w:qFormat/>
    <w:rPr>
      <w:rFonts w:cs="Calibri"/>
      <w:color w:val="000000"/>
    </w:rPr>
  </w:style>
  <w:style w:type="character" w:styleId="ListLabel1048" w:customStyle="1">
    <w:name w:val="ListLabel 1048"/>
    <w:qFormat/>
    <w:rPr>
      <w:rFonts w:ascii="Arial" w:hAnsi="Arial" w:eastAsia="Times New Roman" w:cs="Arial"/>
      <w:sz w:val="18"/>
    </w:rPr>
  </w:style>
  <w:style w:type="character" w:styleId="ListLabel1049" w:customStyle="1">
    <w:name w:val="ListLabel 1049"/>
    <w:qFormat/>
    <w:rPr>
      <w:rFonts w:ascii="Arial" w:hAnsi="Arial" w:eastAsia="Times New Roman" w:cs="Arial"/>
      <w:b/>
      <w:bCs/>
      <w:sz w:val="18"/>
    </w:rPr>
  </w:style>
  <w:style w:type="character" w:styleId="ListLabel1050" w:customStyle="1">
    <w:name w:val="ListLabel 1050"/>
    <w:qFormat/>
    <w:rPr>
      <w:rFonts w:cs="Calibri"/>
    </w:rPr>
  </w:style>
  <w:style w:type="character" w:styleId="ListLabel1051" w:customStyle="1">
    <w:name w:val="ListLabel 1051"/>
    <w:qFormat/>
    <w:rPr>
      <w:rFonts w:cs="Calibri"/>
    </w:rPr>
  </w:style>
  <w:style w:type="character" w:styleId="ListLabel1052" w:customStyle="1">
    <w:name w:val="ListLabel 1052"/>
    <w:qFormat/>
    <w:rPr>
      <w:sz w:val="24"/>
      <w:szCs w:val="24"/>
    </w:rPr>
  </w:style>
  <w:style w:type="character" w:styleId="ListLabel1053" w:customStyle="1">
    <w:name w:val="ListLabel 1053"/>
    <w:qFormat/>
    <w:rPr>
      <w:b/>
      <w:bCs/>
      <w:i/>
      <w:sz w:val="28"/>
      <w:szCs w:val="28"/>
    </w:rPr>
  </w:style>
  <w:style w:type="character" w:styleId="ListLabel1054" w:customStyle="1">
    <w:name w:val="ListLabel 1054"/>
    <w:qFormat/>
    <w:rPr/>
  </w:style>
  <w:style w:type="character" w:styleId="ListLabel1055" w:customStyle="1">
    <w:name w:val="ListLabel 1055"/>
    <w:qFormat/>
    <w:rPr>
      <w:color w:val="000000" w:themeColor="text1"/>
      <w:highlight w:val="yellow"/>
    </w:rPr>
  </w:style>
  <w:style w:type="character" w:styleId="ListLabel1056" w:customStyle="1">
    <w:name w:val="ListLabel 1056"/>
    <w:qFormat/>
    <w:rPr>
      <w:rFonts w:cs="Symbol"/>
    </w:rPr>
  </w:style>
  <w:style w:type="character" w:styleId="ListLabel1057" w:customStyle="1">
    <w:name w:val="ListLabel 1057"/>
    <w:qFormat/>
    <w:rPr>
      <w:rFonts w:cs="Courier New"/>
    </w:rPr>
  </w:style>
  <w:style w:type="character" w:styleId="ListLabel1058" w:customStyle="1">
    <w:name w:val="ListLabel 1058"/>
    <w:qFormat/>
    <w:rPr>
      <w:rFonts w:cs="Wingdings"/>
    </w:rPr>
  </w:style>
  <w:style w:type="character" w:styleId="ListLabel1059" w:customStyle="1">
    <w:name w:val="ListLabel 1059"/>
    <w:qFormat/>
    <w:rPr>
      <w:rFonts w:cs="Symbol"/>
    </w:rPr>
  </w:style>
  <w:style w:type="character" w:styleId="ListLabel1060" w:customStyle="1">
    <w:name w:val="ListLabel 1060"/>
    <w:qFormat/>
    <w:rPr>
      <w:rFonts w:cs="Courier New"/>
    </w:rPr>
  </w:style>
  <w:style w:type="character" w:styleId="ListLabel1061" w:customStyle="1">
    <w:name w:val="ListLabel 1061"/>
    <w:qFormat/>
    <w:rPr>
      <w:rFonts w:cs="Wingdings"/>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sz w:val="20"/>
    </w:rPr>
  </w:style>
  <w:style w:type="character" w:styleId="ListLabel1066" w:customStyle="1">
    <w:name w:val="ListLabel 1066"/>
    <w:qFormat/>
    <w:rPr>
      <w:rFonts w:cs="Symbol"/>
    </w:rPr>
  </w:style>
  <w:style w:type="character" w:styleId="ListLabel1067" w:customStyle="1">
    <w:name w:val="ListLabel 1067"/>
    <w:qFormat/>
    <w:rPr>
      <w:rFonts w:cs="Courier New"/>
    </w:rPr>
  </w:style>
  <w:style w:type="character" w:styleId="ListLabel1068" w:customStyle="1">
    <w:name w:val="ListLabel 1068"/>
    <w:qFormat/>
    <w:rPr>
      <w:rFonts w:cs="Courier New"/>
    </w:rPr>
  </w:style>
  <w:style w:type="character" w:styleId="ListLabel1069" w:customStyle="1">
    <w:name w:val="ListLabel 1069"/>
    <w:qFormat/>
    <w:rPr>
      <w:rFonts w:cs="Wingdings"/>
    </w:rPr>
  </w:style>
  <w:style w:type="character" w:styleId="ListLabel1070" w:customStyle="1">
    <w:name w:val="ListLabel 1070"/>
    <w:qFormat/>
    <w:rPr>
      <w:rFonts w:cs="Symbol"/>
    </w:rPr>
  </w:style>
  <w:style w:type="character" w:styleId="ListLabel1071" w:customStyle="1">
    <w:name w:val="ListLabel 1071"/>
    <w:qFormat/>
    <w:rPr>
      <w:rFonts w:cs="Courier New"/>
    </w:rPr>
  </w:style>
  <w:style w:type="character" w:styleId="ListLabel1072" w:customStyle="1">
    <w:name w:val="ListLabel 1072"/>
    <w:qFormat/>
    <w:rPr>
      <w:rFonts w:cs="Wingdings"/>
    </w:rPr>
  </w:style>
  <w:style w:type="character" w:styleId="ListLabel1073" w:customStyle="1">
    <w:name w:val="ListLabel 1073"/>
    <w:qFormat/>
    <w:rPr>
      <w:rFonts w:cs="Symbol"/>
    </w:rPr>
  </w:style>
  <w:style w:type="character" w:styleId="ListLabel1074" w:customStyle="1">
    <w:name w:val="ListLabel 1074"/>
    <w:qFormat/>
    <w:rPr>
      <w:rFonts w:cs="Courier New"/>
    </w:rPr>
  </w:style>
  <w:style w:type="character" w:styleId="ListLabel1075" w:customStyle="1">
    <w:name w:val="ListLabel 1075"/>
    <w:qFormat/>
    <w:rPr>
      <w:rFonts w:cs="Wingdings"/>
    </w:rPr>
  </w:style>
  <w:style w:type="character" w:styleId="ListLabel1076" w:customStyle="1">
    <w:name w:val="ListLabel 1076"/>
    <w:qFormat/>
    <w:rPr>
      <w:rFonts w:cs="Symbol"/>
      <w:sz w:val="22"/>
    </w:rPr>
  </w:style>
  <w:style w:type="character" w:styleId="ListLabel1077" w:customStyle="1">
    <w:name w:val="ListLabel 1077"/>
    <w:qFormat/>
    <w:rPr>
      <w:rFonts w:cs="Courier New"/>
    </w:rPr>
  </w:style>
  <w:style w:type="character" w:styleId="ListLabel1078" w:customStyle="1">
    <w:name w:val="ListLabel 1078"/>
    <w:qFormat/>
    <w:rPr>
      <w:rFonts w:cs="Wingdings"/>
    </w:rPr>
  </w:style>
  <w:style w:type="character" w:styleId="ListLabel1079" w:customStyle="1">
    <w:name w:val="ListLabel 1079"/>
    <w:qFormat/>
    <w:rPr>
      <w:rFonts w:cs="Symbol"/>
    </w:rPr>
  </w:style>
  <w:style w:type="character" w:styleId="ListLabel1080" w:customStyle="1">
    <w:name w:val="ListLabel 1080"/>
    <w:qFormat/>
    <w:rPr>
      <w:rFonts w:cs="Courier New"/>
    </w:rPr>
  </w:style>
  <w:style w:type="character" w:styleId="ListLabel1081" w:customStyle="1">
    <w:name w:val="ListLabel 1081"/>
    <w:qFormat/>
    <w:rPr>
      <w:rFonts w:cs="Wingdings"/>
    </w:rPr>
  </w:style>
  <w:style w:type="character" w:styleId="ListLabel1082" w:customStyle="1">
    <w:name w:val="ListLabel 1082"/>
    <w:qFormat/>
    <w:rPr>
      <w:rFonts w:cs="Symbol"/>
    </w:rPr>
  </w:style>
  <w:style w:type="character" w:styleId="ListLabel1083" w:customStyle="1">
    <w:name w:val="ListLabel 1083"/>
    <w:qFormat/>
    <w:rPr>
      <w:rFonts w:cs="Courier New"/>
    </w:rPr>
  </w:style>
  <w:style w:type="character" w:styleId="ListLabel1084" w:customStyle="1">
    <w:name w:val="ListLabel 1084"/>
    <w:qFormat/>
    <w:rPr>
      <w:rFonts w:cs="Wingdings"/>
    </w:rPr>
  </w:style>
  <w:style w:type="character" w:styleId="ListLabel1085" w:customStyle="1">
    <w:name w:val="ListLabel 1085"/>
    <w:qFormat/>
    <w:rPr>
      <w:rFonts w:cs="OpenSymbol"/>
      <w:sz w:val="22"/>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sz w:val="22"/>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Symbol"/>
    </w:rPr>
  </w:style>
  <w:style w:type="character" w:styleId="ListLabel1112" w:customStyle="1">
    <w:name w:val="ListLabel 1112"/>
    <w:qFormat/>
    <w:rPr>
      <w:rFonts w:cs="Courier New"/>
    </w:rPr>
  </w:style>
  <w:style w:type="character" w:styleId="ListLabel1113" w:customStyle="1">
    <w:name w:val="ListLabel 1113"/>
    <w:qFormat/>
    <w:rPr>
      <w:rFonts w:cs="Wingdings"/>
    </w:rPr>
  </w:style>
  <w:style w:type="character" w:styleId="ListLabel1114" w:customStyle="1">
    <w:name w:val="ListLabel 1114"/>
    <w:qFormat/>
    <w:rPr>
      <w:rFonts w:cs="Symbol"/>
    </w:rPr>
  </w:style>
  <w:style w:type="character" w:styleId="ListLabel1115" w:customStyle="1">
    <w:name w:val="ListLabel 1115"/>
    <w:qFormat/>
    <w:rPr>
      <w:rFonts w:cs="Courier New"/>
    </w:rPr>
  </w:style>
  <w:style w:type="character" w:styleId="ListLabel1116" w:customStyle="1">
    <w:name w:val="ListLabel 1116"/>
    <w:qFormat/>
    <w:rPr>
      <w:rFonts w:cs="Wingdings"/>
    </w:rPr>
  </w:style>
  <w:style w:type="character" w:styleId="ListLabel1117" w:customStyle="1">
    <w:name w:val="ListLabel 1117"/>
    <w:qFormat/>
    <w:rPr>
      <w:rFonts w:cs="Symbol"/>
    </w:rPr>
  </w:style>
  <w:style w:type="character" w:styleId="ListLabel1118" w:customStyle="1">
    <w:name w:val="ListLabel 1118"/>
    <w:qFormat/>
    <w:rPr>
      <w:rFonts w:cs="Courier New"/>
    </w:rPr>
  </w:style>
  <w:style w:type="character" w:styleId="ListLabel1119" w:customStyle="1">
    <w:name w:val="ListLabel 1119"/>
    <w:qFormat/>
    <w:rPr>
      <w:rFonts w:cs="Wingdings"/>
    </w:rPr>
  </w:style>
  <w:style w:type="character" w:styleId="ListLabel1120" w:customStyle="1">
    <w:name w:val="ListLabel 1120"/>
    <w:qFormat/>
    <w:rPr>
      <w:rFonts w:cs="Symbol"/>
    </w:rPr>
  </w:style>
  <w:style w:type="character" w:styleId="ListLabel1121" w:customStyle="1">
    <w:name w:val="ListLabel 1121"/>
    <w:qFormat/>
    <w:rPr>
      <w:rFonts w:cs="Symbol"/>
    </w:rPr>
  </w:style>
  <w:style w:type="character" w:styleId="ListLabel1122" w:customStyle="1">
    <w:name w:val="ListLabel 1122"/>
    <w:qFormat/>
    <w:rPr>
      <w:rFonts w:cs="Wingdings"/>
    </w:rPr>
  </w:style>
  <w:style w:type="character" w:styleId="ListLabel1123" w:customStyle="1">
    <w:name w:val="ListLabel 1123"/>
    <w:qFormat/>
    <w:rPr>
      <w:rFonts w:cs="Symbol"/>
    </w:rPr>
  </w:style>
  <w:style w:type="character" w:styleId="ListLabel1124" w:customStyle="1">
    <w:name w:val="ListLabel 1124"/>
    <w:qFormat/>
    <w:rPr>
      <w:rFonts w:cs="Courier New"/>
    </w:rPr>
  </w:style>
  <w:style w:type="character" w:styleId="ListLabel1125" w:customStyle="1">
    <w:name w:val="ListLabel 1125"/>
    <w:qFormat/>
    <w:rPr>
      <w:rFonts w:cs="Wingdings"/>
    </w:rPr>
  </w:style>
  <w:style w:type="character" w:styleId="ListLabel1126" w:customStyle="1">
    <w:name w:val="ListLabel 1126"/>
    <w:qFormat/>
    <w:rPr>
      <w:rFonts w:cs="Symbol"/>
    </w:rPr>
  </w:style>
  <w:style w:type="character" w:styleId="ListLabel1127" w:customStyle="1">
    <w:name w:val="ListLabel 1127"/>
    <w:qFormat/>
    <w:rPr>
      <w:rFonts w:cs="Courier New"/>
    </w:rPr>
  </w:style>
  <w:style w:type="character" w:styleId="ListLabel1128" w:customStyle="1">
    <w:name w:val="ListLabel 1128"/>
    <w:qFormat/>
    <w:rPr>
      <w:rFonts w:cs="Wingdings"/>
    </w:rPr>
  </w:style>
  <w:style w:type="character" w:styleId="ListLabel1129" w:customStyle="1">
    <w:name w:val="ListLabel 1129"/>
    <w:qFormat/>
    <w:rPr>
      <w:rFonts w:cs="Symbol"/>
    </w:rPr>
  </w:style>
  <w:style w:type="character" w:styleId="ListLabel1130" w:customStyle="1">
    <w:name w:val="ListLabel 1130"/>
    <w:qFormat/>
    <w:rPr>
      <w:rFonts w:cs="Symbol"/>
    </w:rPr>
  </w:style>
  <w:style w:type="character" w:styleId="ListLabel1131" w:customStyle="1">
    <w:name w:val="ListLabel 1131"/>
    <w:qFormat/>
    <w:rPr>
      <w:rFonts w:cs="Courier New"/>
    </w:rPr>
  </w:style>
  <w:style w:type="character" w:styleId="ListLabel1132" w:customStyle="1">
    <w:name w:val="ListLabel 1132"/>
    <w:qFormat/>
    <w:rPr>
      <w:rFonts w:cs="Symbol"/>
      <w:sz w:val="20"/>
    </w:rPr>
  </w:style>
  <w:style w:type="character" w:styleId="ListLabel1133" w:customStyle="1">
    <w:name w:val="ListLabel 1133"/>
    <w:qFormat/>
    <w:rPr>
      <w:rFonts w:cs="Courier New"/>
    </w:rPr>
  </w:style>
  <w:style w:type="character" w:styleId="ListLabel1134" w:customStyle="1">
    <w:name w:val="ListLabel 1134"/>
    <w:qFormat/>
    <w:rPr>
      <w:rFonts w:cs="Wingdings"/>
    </w:rPr>
  </w:style>
  <w:style w:type="character" w:styleId="ListLabel1135" w:customStyle="1">
    <w:name w:val="ListLabel 1135"/>
    <w:qFormat/>
    <w:rPr>
      <w:rFonts w:cs="Symbol"/>
    </w:rPr>
  </w:style>
  <w:style w:type="character" w:styleId="ListLabel1136" w:customStyle="1">
    <w:name w:val="ListLabel 1136"/>
    <w:qFormat/>
    <w:rPr>
      <w:rFonts w:cs="Courier New"/>
    </w:rPr>
  </w:style>
  <w:style w:type="character" w:styleId="ListLabel1137" w:customStyle="1">
    <w:name w:val="ListLabel 1137"/>
    <w:qFormat/>
    <w:rPr>
      <w:rFonts w:cs="Wingdings"/>
    </w:rPr>
  </w:style>
  <w:style w:type="character" w:styleId="ListLabel1138" w:customStyle="1">
    <w:name w:val="ListLabel 1138"/>
    <w:qFormat/>
    <w:rPr>
      <w:rFonts w:cs="Symbol"/>
    </w:rPr>
  </w:style>
  <w:style w:type="character" w:styleId="ListLabel1139" w:customStyle="1">
    <w:name w:val="ListLabel 1139"/>
    <w:qFormat/>
    <w:rPr>
      <w:rFonts w:cs="Courier New"/>
    </w:rPr>
  </w:style>
  <w:style w:type="character" w:styleId="ListLabel1140" w:customStyle="1">
    <w:name w:val="ListLabel 1140"/>
    <w:qFormat/>
    <w:rPr>
      <w:rFonts w:cs="Wingdings"/>
    </w:rPr>
  </w:style>
  <w:style w:type="character" w:styleId="ListLabel1141" w:customStyle="1">
    <w:name w:val="ListLabel 1141"/>
    <w:qFormat/>
    <w:rPr>
      <w:rFonts w:cs="Symbol"/>
      <w:sz w:val="22"/>
    </w:rPr>
  </w:style>
  <w:style w:type="character" w:styleId="ListLabel1142" w:customStyle="1">
    <w:name w:val="ListLabel 1142"/>
    <w:qFormat/>
    <w:rPr>
      <w:rFonts w:cs="Courier New"/>
    </w:rPr>
  </w:style>
  <w:style w:type="character" w:styleId="ListLabel1143" w:customStyle="1">
    <w:name w:val="ListLabel 1143"/>
    <w:qFormat/>
    <w:rPr>
      <w:rFonts w:cs="Wingdings"/>
    </w:rPr>
  </w:style>
  <w:style w:type="character" w:styleId="ListLabel1144" w:customStyle="1">
    <w:name w:val="ListLabel 1144"/>
    <w:qFormat/>
    <w:rPr>
      <w:rFonts w:cs="Symbol"/>
    </w:rPr>
  </w:style>
  <w:style w:type="character" w:styleId="ListLabel1145" w:customStyle="1">
    <w:name w:val="ListLabel 1145"/>
    <w:qFormat/>
    <w:rPr>
      <w:rFonts w:cs="Courier New"/>
    </w:rPr>
  </w:style>
  <w:style w:type="character" w:styleId="ListLabel1146" w:customStyle="1">
    <w:name w:val="ListLabel 1146"/>
    <w:qFormat/>
    <w:rPr>
      <w:rFonts w:cs="Wingdings"/>
    </w:rPr>
  </w:style>
  <w:style w:type="character" w:styleId="ListLabel1147" w:customStyle="1">
    <w:name w:val="ListLabel 1147"/>
    <w:qFormat/>
    <w:rPr>
      <w:rFonts w:cs="Symbol"/>
    </w:rPr>
  </w:style>
  <w:style w:type="character" w:styleId="ListLabel1148" w:customStyle="1">
    <w:name w:val="ListLabel 1148"/>
    <w:qFormat/>
    <w:rPr>
      <w:rFonts w:cs="Courier New"/>
    </w:rPr>
  </w:style>
  <w:style w:type="character" w:styleId="ListLabel1149" w:customStyle="1">
    <w:name w:val="ListLabel 1149"/>
    <w:qFormat/>
    <w:rPr>
      <w:rFonts w:cs="Wingdings"/>
    </w:rPr>
  </w:style>
  <w:style w:type="character" w:styleId="ListLabel1150" w:customStyle="1">
    <w:name w:val="ListLabel 1150"/>
    <w:qFormat/>
    <w:rPr>
      <w:rFonts w:cs="OpenSymbol"/>
      <w:sz w:val="22"/>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b/>
    </w:rPr>
  </w:style>
  <w:style w:type="character" w:styleId="ListLabel1160" w:customStyle="1">
    <w:name w:val="ListLabel 1160"/>
    <w:qFormat/>
    <w:rPr>
      <w:i w:val="false"/>
    </w:rPr>
  </w:style>
  <w:style w:type="character" w:styleId="ListLabel1161" w:customStyle="1">
    <w:name w:val="ListLabel 1161"/>
    <w:qFormat/>
    <w:rPr>
      <w:rFonts w:cs="Symbol"/>
      <w:sz w:val="22"/>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rPr>
  </w:style>
  <w:style w:type="character" w:styleId="ListLabel1165" w:customStyle="1">
    <w:name w:val="ListLabel 1165"/>
    <w:qFormat/>
    <w:rPr>
      <w:rFonts w:cs="Courier New"/>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OpenSymbol"/>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ascii="Calibri" w:hAnsi="Calibri" w:cs="Symbol"/>
    </w:rPr>
  </w:style>
  <w:style w:type="character" w:styleId="ListLabel1189" w:customStyle="1">
    <w:name w:val="ListLabel 1189"/>
    <w:qFormat/>
    <w:rPr>
      <w:rFonts w:cs="Courier New"/>
    </w:rPr>
  </w:style>
  <w:style w:type="character" w:styleId="ListLabel1190" w:customStyle="1">
    <w:name w:val="ListLabel 1190"/>
    <w:qFormat/>
    <w:rPr>
      <w:rFonts w:cs="Wingdings"/>
    </w:rPr>
  </w:style>
  <w:style w:type="character" w:styleId="ListLabel1191" w:customStyle="1">
    <w:name w:val="ListLabel 1191"/>
    <w:qFormat/>
    <w:rPr>
      <w:rFonts w:cs="Symbol"/>
    </w:rPr>
  </w:style>
  <w:style w:type="character" w:styleId="ListLabel1192" w:customStyle="1">
    <w:name w:val="ListLabel 1192"/>
    <w:qFormat/>
    <w:rPr>
      <w:rFonts w:cs="Courier New"/>
    </w:rPr>
  </w:style>
  <w:style w:type="character" w:styleId="ListLabel1193" w:customStyle="1">
    <w:name w:val="ListLabel 1193"/>
    <w:qFormat/>
    <w:rPr>
      <w:rFonts w:cs="Wingdings"/>
    </w:rPr>
  </w:style>
  <w:style w:type="character" w:styleId="ListLabel1194" w:customStyle="1">
    <w:name w:val="ListLabel 1194"/>
    <w:qFormat/>
    <w:rPr>
      <w:rFonts w:cs="Symbol"/>
    </w:rPr>
  </w:style>
  <w:style w:type="character" w:styleId="ListLabel1195" w:customStyle="1">
    <w:name w:val="ListLabel 1195"/>
    <w:qFormat/>
    <w:rPr>
      <w:rFonts w:cs="Courier New"/>
    </w:rPr>
  </w:style>
  <w:style w:type="character" w:styleId="ListLabel1196" w:customStyle="1">
    <w:name w:val="ListLabel 1196"/>
    <w:qFormat/>
    <w:rPr>
      <w:rFonts w:cs="Wingdings"/>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OpenSymbol"/>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rFonts w:cs="OpenSymbol"/>
    </w:rPr>
  </w:style>
  <w:style w:type="character" w:styleId="ListLabel1212" w:customStyle="1">
    <w:name w:val="ListLabel 1212"/>
    <w:qFormat/>
    <w:rPr>
      <w:rFonts w:cs="OpenSymbol"/>
    </w:rPr>
  </w:style>
  <w:style w:type="character" w:styleId="ListLabel1213" w:customStyle="1">
    <w:name w:val="ListLabel 1213"/>
    <w:qFormat/>
    <w:rPr>
      <w:rFonts w:cs="OpenSymbol"/>
    </w:rPr>
  </w:style>
  <w:style w:type="character" w:styleId="ListLabel1214" w:customStyle="1">
    <w:name w:val="ListLabel 1214"/>
    <w:qFormat/>
    <w:rPr>
      <w:rFonts w:cs="OpenSymbol"/>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OpenSymbol"/>
    </w:rPr>
  </w:style>
  <w:style w:type="character" w:styleId="ListLabel1255" w:customStyle="1">
    <w:name w:val="ListLabel 1255"/>
    <w:qFormat/>
    <w:rPr>
      <w:rFonts w:cs="OpenSymbol"/>
    </w:rPr>
  </w:style>
  <w:style w:type="character" w:styleId="ListLabel1256" w:customStyle="1">
    <w:name w:val="ListLabel 1256"/>
    <w:qFormat/>
    <w:rPr>
      <w:rFonts w:cs="OpenSymbol"/>
    </w:rPr>
  </w:style>
  <w:style w:type="character" w:styleId="ListLabel1257" w:customStyle="1">
    <w:name w:val="ListLabel 1257"/>
    <w:qFormat/>
    <w:rPr>
      <w:rFonts w:cs="OpenSymbol"/>
    </w:rPr>
  </w:style>
  <w:style w:type="character" w:styleId="ListLabel1258" w:customStyle="1">
    <w:name w:val="ListLabel 1258"/>
    <w:qFormat/>
    <w:rPr>
      <w:rFonts w:cs="OpenSymbol"/>
    </w:rPr>
  </w:style>
  <w:style w:type="character" w:styleId="ListLabel1259" w:customStyle="1">
    <w:name w:val="ListLabel 1259"/>
    <w:qFormat/>
    <w:rPr>
      <w:rFonts w:cs="OpenSymbol"/>
    </w:rPr>
  </w:style>
  <w:style w:type="character" w:styleId="ListLabel1260" w:customStyle="1">
    <w:name w:val="ListLabel 1260"/>
    <w:qFormat/>
    <w:rPr>
      <w:rFonts w:cs="OpenSymbol"/>
    </w:rPr>
  </w:style>
  <w:style w:type="character" w:styleId="ListLabel1261" w:customStyle="1">
    <w:name w:val="ListLabel 1261"/>
    <w:qFormat/>
    <w:rPr>
      <w:rFonts w:cs="OpenSymbol"/>
    </w:rPr>
  </w:style>
  <w:style w:type="character" w:styleId="ListLabel1262" w:customStyle="1">
    <w:name w:val="ListLabel 1262"/>
    <w:qFormat/>
    <w:rPr>
      <w:rFonts w:cs="OpenSymbol"/>
    </w:rPr>
  </w:style>
  <w:style w:type="character" w:styleId="ListLabel1263" w:customStyle="1">
    <w:name w:val="ListLabel 1263"/>
    <w:qFormat/>
    <w:rPr>
      <w:rFonts w:cs="OpenSymbol"/>
    </w:rPr>
  </w:style>
  <w:style w:type="character" w:styleId="ListLabel1264" w:customStyle="1">
    <w:name w:val="ListLabel 1264"/>
    <w:qFormat/>
    <w:rPr>
      <w:rFonts w:cs="OpenSymbol"/>
    </w:rPr>
  </w:style>
  <w:style w:type="character" w:styleId="ListLabel1265" w:customStyle="1">
    <w:name w:val="ListLabel 1265"/>
    <w:qFormat/>
    <w:rPr>
      <w:rFonts w:cs="OpenSymbol"/>
    </w:rPr>
  </w:style>
  <w:style w:type="character" w:styleId="ListLabel1266" w:customStyle="1">
    <w:name w:val="ListLabel 1266"/>
    <w:qFormat/>
    <w:rPr>
      <w:rFonts w:cs="OpenSymbol"/>
    </w:rPr>
  </w:style>
  <w:style w:type="character" w:styleId="ListLabel1267" w:customStyle="1">
    <w:name w:val="ListLabel 1267"/>
    <w:qFormat/>
    <w:rPr>
      <w:rFonts w:cs="OpenSymbol"/>
    </w:rPr>
  </w:style>
  <w:style w:type="character" w:styleId="ListLabel1268" w:customStyle="1">
    <w:name w:val="ListLabel 1268"/>
    <w:qFormat/>
    <w:rPr>
      <w:rFonts w:cs="OpenSymbol"/>
    </w:rPr>
  </w:style>
  <w:style w:type="character" w:styleId="ListLabel1269" w:customStyle="1">
    <w:name w:val="ListLabel 1269"/>
    <w:qFormat/>
    <w:rPr>
      <w:rFonts w:eastAsia="Times New Roman" w:cs="Trebuchet MS"/>
      <w:color w:val="000000"/>
      <w:sz w:val="24"/>
      <w:szCs w:val="24"/>
    </w:rPr>
  </w:style>
  <w:style w:type="character" w:styleId="ListLabel1270" w:customStyle="1">
    <w:name w:val="ListLabel 1270"/>
    <w:qFormat/>
    <w:rPr/>
  </w:style>
  <w:style w:type="character" w:styleId="ListLabel1271" w:customStyle="1">
    <w:name w:val="ListLabel 1271"/>
    <w:qFormat/>
    <w:rPr>
      <w:sz w:val="20"/>
    </w:rPr>
  </w:style>
  <w:style w:type="character" w:styleId="ListLabel1272" w:customStyle="1">
    <w:name w:val="ListLabel 1272"/>
    <w:qFormat/>
    <w:rPr>
      <w:sz w:val="16"/>
      <w:szCs w:val="16"/>
    </w:rPr>
  </w:style>
  <w:style w:type="character" w:styleId="ListLabel1273" w:customStyle="1">
    <w:name w:val="ListLabel 1273"/>
    <w:qFormat/>
    <w:rPr>
      <w:rFonts w:cs="Calibri"/>
      <w:color w:val="000000"/>
    </w:rPr>
  </w:style>
  <w:style w:type="character" w:styleId="ListLabel1274" w:customStyle="1">
    <w:name w:val="ListLabel 1274"/>
    <w:qFormat/>
    <w:rPr>
      <w:rFonts w:ascii="Arial" w:hAnsi="Arial" w:eastAsia="Times New Roman" w:cs="Arial"/>
      <w:sz w:val="18"/>
    </w:rPr>
  </w:style>
  <w:style w:type="character" w:styleId="ListLabel1275" w:customStyle="1">
    <w:name w:val="ListLabel 1275"/>
    <w:qFormat/>
    <w:rPr>
      <w:rFonts w:ascii="Arial" w:hAnsi="Arial" w:eastAsia="Times New Roman" w:cs="Arial"/>
      <w:b/>
      <w:bCs/>
      <w:sz w:val="18"/>
    </w:rPr>
  </w:style>
  <w:style w:type="character" w:styleId="ListLabel1276" w:customStyle="1">
    <w:name w:val="ListLabel 1276"/>
    <w:qFormat/>
    <w:rPr>
      <w:rFonts w:cs="Calibri"/>
    </w:rPr>
  </w:style>
  <w:style w:type="character" w:styleId="ListLabel1277" w:customStyle="1">
    <w:name w:val="ListLabel 1277"/>
    <w:qFormat/>
    <w:rPr>
      <w:rFonts w:cs="Calibri"/>
    </w:rPr>
  </w:style>
  <w:style w:type="character" w:styleId="ListLabel1278" w:customStyle="1">
    <w:name w:val="ListLabel 1278"/>
    <w:qFormat/>
    <w:rPr>
      <w:sz w:val="24"/>
      <w:szCs w:val="24"/>
    </w:rPr>
  </w:style>
  <w:style w:type="character" w:styleId="ListLabel1279" w:customStyle="1">
    <w:name w:val="ListLabel 1279"/>
    <w:qFormat/>
    <w:rPr>
      <w:b/>
      <w:bCs/>
      <w:i/>
      <w:sz w:val="28"/>
      <w:szCs w:val="28"/>
    </w:rPr>
  </w:style>
  <w:style w:type="character" w:styleId="ListLabel1280" w:customStyle="1">
    <w:name w:val="ListLabel 1280"/>
    <w:qFormat/>
    <w:rPr/>
  </w:style>
  <w:style w:type="character" w:styleId="ListLabel1281" w:customStyle="1">
    <w:name w:val="ListLabel 1281"/>
    <w:qFormat/>
    <w:rPr>
      <w:color w:val="000000" w:themeColor="text1"/>
      <w:highlight w:val="yellow"/>
    </w:rPr>
  </w:style>
  <w:style w:type="character" w:styleId="ListLabel1282" w:customStyle="1">
    <w:name w:val="ListLabel 1282"/>
    <w:qFormat/>
    <w:rPr>
      <w:rFonts w:cs="Symbol"/>
    </w:rPr>
  </w:style>
  <w:style w:type="character" w:styleId="ListLabel1283" w:customStyle="1">
    <w:name w:val="ListLabel 1283"/>
    <w:qFormat/>
    <w:rPr>
      <w:rFonts w:cs="Courier New"/>
    </w:rPr>
  </w:style>
  <w:style w:type="character" w:styleId="ListLabel1284" w:customStyle="1">
    <w:name w:val="ListLabel 1284"/>
    <w:qFormat/>
    <w:rPr>
      <w:rFonts w:cs="Wingdings"/>
    </w:rPr>
  </w:style>
  <w:style w:type="character" w:styleId="ListLabel1285" w:customStyle="1">
    <w:name w:val="ListLabel 1285"/>
    <w:qFormat/>
    <w:rPr>
      <w:rFonts w:cs="Symbol"/>
    </w:rPr>
  </w:style>
  <w:style w:type="character" w:styleId="ListLabel1286" w:customStyle="1">
    <w:name w:val="ListLabel 1286"/>
    <w:qFormat/>
    <w:rPr>
      <w:rFonts w:cs="Courier New"/>
    </w:rPr>
  </w:style>
  <w:style w:type="character" w:styleId="ListLabel1287" w:customStyle="1">
    <w:name w:val="ListLabel 1287"/>
    <w:qFormat/>
    <w:rPr>
      <w:rFonts w:cs="Wingdings"/>
    </w:rPr>
  </w:style>
  <w:style w:type="character" w:styleId="ListLabel1288" w:customStyle="1">
    <w:name w:val="ListLabel 1288"/>
    <w:qFormat/>
    <w:rPr>
      <w:rFonts w:cs="Symbol"/>
    </w:rPr>
  </w:style>
  <w:style w:type="character" w:styleId="ListLabel1289" w:customStyle="1">
    <w:name w:val="ListLabel 1289"/>
    <w:qFormat/>
    <w:rPr>
      <w:rFonts w:cs="Courier New"/>
    </w:rPr>
  </w:style>
  <w:style w:type="character" w:styleId="ListLabel1290" w:customStyle="1">
    <w:name w:val="ListLabel 1290"/>
    <w:qFormat/>
    <w:rPr>
      <w:rFonts w:cs="Wingdings"/>
    </w:rPr>
  </w:style>
  <w:style w:type="character" w:styleId="ListLabel1291" w:customStyle="1">
    <w:name w:val="ListLabel 1291"/>
    <w:qFormat/>
    <w:rPr>
      <w:rFonts w:cs="Symbol"/>
      <w:sz w:val="20"/>
    </w:rPr>
  </w:style>
  <w:style w:type="character" w:styleId="ListLabel1292" w:customStyle="1">
    <w:name w:val="ListLabel 1292"/>
    <w:qFormat/>
    <w:rPr>
      <w:rFonts w:cs="Symbol"/>
    </w:rPr>
  </w:style>
  <w:style w:type="character" w:styleId="ListLabel1293" w:customStyle="1">
    <w:name w:val="ListLabel 1293"/>
    <w:qFormat/>
    <w:rPr>
      <w:rFonts w:cs="Courier New"/>
    </w:rPr>
  </w:style>
  <w:style w:type="character" w:styleId="ListLabel1294" w:customStyle="1">
    <w:name w:val="ListLabel 1294"/>
    <w:qFormat/>
    <w:rPr>
      <w:rFonts w:cs="Courier New"/>
    </w:rPr>
  </w:style>
  <w:style w:type="character" w:styleId="ListLabel1295" w:customStyle="1">
    <w:name w:val="ListLabel 1295"/>
    <w:qFormat/>
    <w:rPr>
      <w:rFonts w:cs="Wingdings"/>
    </w:rPr>
  </w:style>
  <w:style w:type="character" w:styleId="ListLabel1296" w:customStyle="1">
    <w:name w:val="ListLabel 1296"/>
    <w:qFormat/>
    <w:rPr>
      <w:rFonts w:cs="Symbol"/>
    </w:rPr>
  </w:style>
  <w:style w:type="character" w:styleId="ListLabel1297" w:customStyle="1">
    <w:name w:val="ListLabel 1297"/>
    <w:qFormat/>
    <w:rPr>
      <w:rFonts w:cs="Courier New"/>
    </w:rPr>
  </w:style>
  <w:style w:type="character" w:styleId="ListLabel1298" w:customStyle="1">
    <w:name w:val="ListLabel 1298"/>
    <w:qFormat/>
    <w:rPr>
      <w:rFonts w:cs="Wingdings"/>
    </w:rPr>
  </w:style>
  <w:style w:type="character" w:styleId="ListLabel1299" w:customStyle="1">
    <w:name w:val="ListLabel 1299"/>
    <w:qFormat/>
    <w:rPr>
      <w:rFonts w:cs="Symbol"/>
    </w:rPr>
  </w:style>
  <w:style w:type="character" w:styleId="ListLabel1300" w:customStyle="1">
    <w:name w:val="ListLabel 1300"/>
    <w:qFormat/>
    <w:rPr>
      <w:rFonts w:cs="Courier New"/>
    </w:rPr>
  </w:style>
  <w:style w:type="character" w:styleId="ListLabel1301" w:customStyle="1">
    <w:name w:val="ListLabel 1301"/>
    <w:qFormat/>
    <w:rPr>
      <w:rFonts w:cs="Wingdings"/>
    </w:rPr>
  </w:style>
  <w:style w:type="character" w:styleId="ListLabel1302" w:customStyle="1">
    <w:name w:val="ListLabel 1302"/>
    <w:qFormat/>
    <w:rPr>
      <w:rFonts w:cs="Symbol"/>
      <w:sz w:val="22"/>
    </w:rPr>
  </w:style>
  <w:style w:type="character" w:styleId="ListLabel1303" w:customStyle="1">
    <w:name w:val="ListLabel 1303"/>
    <w:qFormat/>
    <w:rPr>
      <w:rFonts w:cs="Courier New"/>
    </w:rPr>
  </w:style>
  <w:style w:type="character" w:styleId="ListLabel1304" w:customStyle="1">
    <w:name w:val="ListLabel 1304"/>
    <w:qFormat/>
    <w:rPr>
      <w:rFonts w:cs="Wingdings"/>
    </w:rPr>
  </w:style>
  <w:style w:type="character" w:styleId="ListLabel1305" w:customStyle="1">
    <w:name w:val="ListLabel 1305"/>
    <w:qFormat/>
    <w:rPr>
      <w:rFonts w:cs="Symbol"/>
    </w:rPr>
  </w:style>
  <w:style w:type="character" w:styleId="ListLabel1306" w:customStyle="1">
    <w:name w:val="ListLabel 1306"/>
    <w:qFormat/>
    <w:rPr>
      <w:rFonts w:cs="Courier New"/>
    </w:rPr>
  </w:style>
  <w:style w:type="character" w:styleId="ListLabel1307" w:customStyle="1">
    <w:name w:val="ListLabel 1307"/>
    <w:qFormat/>
    <w:rPr>
      <w:rFonts w:cs="Wingdings"/>
    </w:rPr>
  </w:style>
  <w:style w:type="character" w:styleId="ListLabel1308" w:customStyle="1">
    <w:name w:val="ListLabel 1308"/>
    <w:qFormat/>
    <w:rPr>
      <w:rFonts w:cs="Symbol"/>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OpenSymbol"/>
      <w:sz w:val="22"/>
    </w:rPr>
  </w:style>
  <w:style w:type="character" w:styleId="ListLabel1312" w:customStyle="1">
    <w:name w:val="ListLabel 1312"/>
    <w:qFormat/>
    <w:rPr>
      <w:rFonts w:cs="OpenSymbol"/>
    </w:rPr>
  </w:style>
  <w:style w:type="character" w:styleId="ListLabel1313" w:customStyle="1">
    <w:name w:val="ListLabel 1313"/>
    <w:qFormat/>
    <w:rPr>
      <w:rFonts w:cs="OpenSymbol"/>
    </w:rPr>
  </w:style>
  <w:style w:type="character" w:styleId="ListLabel1314" w:customStyle="1">
    <w:name w:val="ListLabel 1314"/>
    <w:qFormat/>
    <w:rPr>
      <w:rFonts w:cs="OpenSymbol"/>
    </w:rPr>
  </w:style>
  <w:style w:type="character" w:styleId="ListLabel1315" w:customStyle="1">
    <w:name w:val="ListLabel 1315"/>
    <w:qFormat/>
    <w:rPr>
      <w:rFonts w:cs="OpenSymbol"/>
    </w:rPr>
  </w:style>
  <w:style w:type="character" w:styleId="ListLabel1316" w:customStyle="1">
    <w:name w:val="ListLabel 1316"/>
    <w:qFormat/>
    <w:rPr>
      <w:rFonts w:cs="OpenSymbol"/>
    </w:rPr>
  </w:style>
  <w:style w:type="character" w:styleId="ListLabel1317" w:customStyle="1">
    <w:name w:val="ListLabel 1317"/>
    <w:qFormat/>
    <w:rPr>
      <w:rFonts w:cs="OpenSymbol"/>
    </w:rPr>
  </w:style>
  <w:style w:type="character" w:styleId="ListLabel1318" w:customStyle="1">
    <w:name w:val="ListLabel 1318"/>
    <w:qFormat/>
    <w:rPr>
      <w:rFonts w:cs="OpenSymbol"/>
    </w:rPr>
  </w:style>
  <w:style w:type="character" w:styleId="ListLabel1319" w:customStyle="1">
    <w:name w:val="ListLabel 1319"/>
    <w:qFormat/>
    <w:rPr>
      <w:rFonts w:cs="OpenSymbol"/>
    </w:rPr>
  </w:style>
  <w:style w:type="character" w:styleId="ListLabel1320" w:customStyle="1">
    <w:name w:val="ListLabel 1320"/>
    <w:qFormat/>
    <w:rPr>
      <w:rFonts w:cs="OpenSymbol"/>
      <w:sz w:val="22"/>
    </w:rPr>
  </w:style>
  <w:style w:type="character" w:styleId="ListLabel1321" w:customStyle="1">
    <w:name w:val="ListLabel 1321"/>
    <w:qFormat/>
    <w:rPr>
      <w:rFonts w:cs="OpenSymbol"/>
    </w:rPr>
  </w:style>
  <w:style w:type="character" w:styleId="ListLabel1322" w:customStyle="1">
    <w:name w:val="ListLabel 1322"/>
    <w:qFormat/>
    <w:rPr>
      <w:rFonts w:cs="OpenSymbol"/>
    </w:rPr>
  </w:style>
  <w:style w:type="character" w:styleId="ListLabel1323" w:customStyle="1">
    <w:name w:val="ListLabel 1323"/>
    <w:qFormat/>
    <w:rPr>
      <w:rFonts w:cs="OpenSymbol"/>
    </w:rPr>
  </w:style>
  <w:style w:type="character" w:styleId="ListLabel1324" w:customStyle="1">
    <w:name w:val="ListLabel 1324"/>
    <w:qFormat/>
    <w:rPr>
      <w:rFonts w:cs="OpenSymbol"/>
    </w:rPr>
  </w:style>
  <w:style w:type="character" w:styleId="ListLabel1325" w:customStyle="1">
    <w:name w:val="ListLabel 1325"/>
    <w:qFormat/>
    <w:rPr>
      <w:rFonts w:cs="OpenSymbol"/>
    </w:rPr>
  </w:style>
  <w:style w:type="character" w:styleId="ListLabel1326" w:customStyle="1">
    <w:name w:val="ListLabel 1326"/>
    <w:qFormat/>
    <w:rPr>
      <w:rFonts w:cs="OpenSymbol"/>
    </w:rPr>
  </w:style>
  <w:style w:type="character" w:styleId="ListLabel1327" w:customStyle="1">
    <w:name w:val="ListLabel 1327"/>
    <w:qFormat/>
    <w:rPr>
      <w:rFonts w:cs="OpenSymbol"/>
    </w:rPr>
  </w:style>
  <w:style w:type="character" w:styleId="ListLabel1328" w:customStyle="1">
    <w:name w:val="ListLabel 1328"/>
    <w:qFormat/>
    <w:rPr>
      <w:rFonts w:cs="OpenSymbol"/>
    </w:rPr>
  </w:style>
  <w:style w:type="character" w:styleId="ListLabel1329" w:customStyle="1">
    <w:name w:val="ListLabel 1329"/>
    <w:qFormat/>
    <w:rPr>
      <w:rFonts w:cs="OpenSymbol"/>
    </w:rPr>
  </w:style>
  <w:style w:type="character" w:styleId="ListLabel1330" w:customStyle="1">
    <w:name w:val="ListLabel 1330"/>
    <w:qFormat/>
    <w:rPr>
      <w:rFonts w:cs="OpenSymbol"/>
    </w:rPr>
  </w:style>
  <w:style w:type="character" w:styleId="ListLabel1331" w:customStyle="1">
    <w:name w:val="ListLabel 1331"/>
    <w:qFormat/>
    <w:rPr>
      <w:rFonts w:cs="OpenSymbol"/>
    </w:rPr>
  </w:style>
  <w:style w:type="character" w:styleId="ListLabel1332" w:customStyle="1">
    <w:name w:val="ListLabel 1332"/>
    <w:qFormat/>
    <w:rPr>
      <w:rFonts w:cs="OpenSymbol"/>
    </w:rPr>
  </w:style>
  <w:style w:type="character" w:styleId="ListLabel1333" w:customStyle="1">
    <w:name w:val="ListLabel 1333"/>
    <w:qFormat/>
    <w:rPr>
      <w:rFonts w:cs="OpenSymbol"/>
    </w:rPr>
  </w:style>
  <w:style w:type="character" w:styleId="ListLabel1334" w:customStyle="1">
    <w:name w:val="ListLabel 1334"/>
    <w:qFormat/>
    <w:rPr>
      <w:rFonts w:cs="OpenSymbol"/>
    </w:rPr>
  </w:style>
  <w:style w:type="character" w:styleId="ListLabel1335" w:customStyle="1">
    <w:name w:val="ListLabel 1335"/>
    <w:qFormat/>
    <w:rPr>
      <w:rFonts w:cs="OpenSymbol"/>
    </w:rPr>
  </w:style>
  <w:style w:type="character" w:styleId="ListLabel1336" w:customStyle="1">
    <w:name w:val="ListLabel 1336"/>
    <w:qFormat/>
    <w:rPr>
      <w:rFonts w:cs="OpenSymbol"/>
    </w:rPr>
  </w:style>
  <w:style w:type="character" w:styleId="ListLabel1337" w:customStyle="1">
    <w:name w:val="ListLabel 1337"/>
    <w:qFormat/>
    <w:rPr>
      <w:rFonts w:cs="Symbol"/>
    </w:rPr>
  </w:style>
  <w:style w:type="character" w:styleId="ListLabel1338" w:customStyle="1">
    <w:name w:val="ListLabel 1338"/>
    <w:qFormat/>
    <w:rPr>
      <w:rFonts w:cs="Courier New"/>
    </w:rPr>
  </w:style>
  <w:style w:type="character" w:styleId="ListLabel1339" w:customStyle="1">
    <w:name w:val="ListLabel 1339"/>
    <w:qFormat/>
    <w:rPr>
      <w:rFonts w:cs="Wingdings"/>
    </w:rPr>
  </w:style>
  <w:style w:type="character" w:styleId="ListLabel1340" w:customStyle="1">
    <w:name w:val="ListLabel 1340"/>
    <w:qFormat/>
    <w:rPr>
      <w:rFonts w:cs="Symbol"/>
    </w:rPr>
  </w:style>
  <w:style w:type="character" w:styleId="ListLabel1341" w:customStyle="1">
    <w:name w:val="ListLabel 1341"/>
    <w:qFormat/>
    <w:rPr>
      <w:rFonts w:cs="Courier New"/>
    </w:rPr>
  </w:style>
  <w:style w:type="character" w:styleId="ListLabel1342" w:customStyle="1">
    <w:name w:val="ListLabel 1342"/>
    <w:qFormat/>
    <w:rPr>
      <w:rFonts w:cs="Wingdings"/>
    </w:rPr>
  </w:style>
  <w:style w:type="character" w:styleId="ListLabel1343" w:customStyle="1">
    <w:name w:val="ListLabel 1343"/>
    <w:qFormat/>
    <w:rPr>
      <w:rFonts w:cs="Symbol"/>
    </w:rPr>
  </w:style>
  <w:style w:type="character" w:styleId="ListLabel1344" w:customStyle="1">
    <w:name w:val="ListLabel 1344"/>
    <w:qFormat/>
    <w:rPr>
      <w:rFonts w:cs="Courier New"/>
    </w:rPr>
  </w:style>
  <w:style w:type="character" w:styleId="ListLabel1345" w:customStyle="1">
    <w:name w:val="ListLabel 1345"/>
    <w:qFormat/>
    <w:rPr>
      <w:rFonts w:cs="Wingdings"/>
    </w:rPr>
  </w:style>
  <w:style w:type="character" w:styleId="ListLabel1346" w:customStyle="1">
    <w:name w:val="ListLabel 1346"/>
    <w:qFormat/>
    <w:rPr>
      <w:rFonts w:cs="Symbol"/>
    </w:rPr>
  </w:style>
  <w:style w:type="character" w:styleId="ListLabel1347" w:customStyle="1">
    <w:name w:val="ListLabel 1347"/>
    <w:qFormat/>
    <w:rPr>
      <w:rFonts w:cs="Symbol"/>
    </w:rPr>
  </w:style>
  <w:style w:type="character" w:styleId="ListLabel1348" w:customStyle="1">
    <w:name w:val="ListLabel 1348"/>
    <w:qFormat/>
    <w:rPr>
      <w:rFonts w:cs="Wingdings"/>
    </w:rPr>
  </w:style>
  <w:style w:type="character" w:styleId="ListLabel1349" w:customStyle="1">
    <w:name w:val="ListLabel 1349"/>
    <w:qFormat/>
    <w:rPr>
      <w:rFonts w:cs="Symbol"/>
    </w:rPr>
  </w:style>
  <w:style w:type="character" w:styleId="ListLabel1350" w:customStyle="1">
    <w:name w:val="ListLabel 1350"/>
    <w:qFormat/>
    <w:rPr>
      <w:rFonts w:cs="Courier New"/>
    </w:rPr>
  </w:style>
  <w:style w:type="character" w:styleId="ListLabel1351" w:customStyle="1">
    <w:name w:val="ListLabel 1351"/>
    <w:qFormat/>
    <w:rPr>
      <w:rFonts w:cs="Wingdings"/>
    </w:rPr>
  </w:style>
  <w:style w:type="character" w:styleId="ListLabel1352" w:customStyle="1">
    <w:name w:val="ListLabel 1352"/>
    <w:qFormat/>
    <w:rPr>
      <w:rFonts w:cs="Symbol"/>
    </w:rPr>
  </w:style>
  <w:style w:type="character" w:styleId="ListLabel1353" w:customStyle="1">
    <w:name w:val="ListLabel 1353"/>
    <w:qFormat/>
    <w:rPr>
      <w:rFonts w:cs="Courier New"/>
    </w:rPr>
  </w:style>
  <w:style w:type="character" w:styleId="ListLabel1354" w:customStyle="1">
    <w:name w:val="ListLabel 1354"/>
    <w:qFormat/>
    <w:rPr>
      <w:rFonts w:cs="Wingdings"/>
    </w:rPr>
  </w:style>
  <w:style w:type="character" w:styleId="ListLabel1355" w:customStyle="1">
    <w:name w:val="ListLabel 1355"/>
    <w:qFormat/>
    <w:rPr>
      <w:rFonts w:cs="Symbol"/>
    </w:rPr>
  </w:style>
  <w:style w:type="character" w:styleId="ListLabel1356" w:customStyle="1">
    <w:name w:val="ListLabel 1356"/>
    <w:qFormat/>
    <w:rPr>
      <w:rFonts w:cs="Symbol"/>
    </w:rPr>
  </w:style>
  <w:style w:type="character" w:styleId="ListLabel1357" w:customStyle="1">
    <w:name w:val="ListLabel 1357"/>
    <w:qFormat/>
    <w:rPr>
      <w:rFonts w:cs="Courier New"/>
    </w:rPr>
  </w:style>
  <w:style w:type="character" w:styleId="ListLabel1358" w:customStyle="1">
    <w:name w:val="ListLabel 1358"/>
    <w:qFormat/>
    <w:rPr>
      <w:rFonts w:cs="Symbol"/>
      <w:sz w:val="20"/>
    </w:rPr>
  </w:style>
  <w:style w:type="character" w:styleId="ListLabel1359" w:customStyle="1">
    <w:name w:val="ListLabel 1359"/>
    <w:qFormat/>
    <w:rPr>
      <w:rFonts w:cs="Courier New"/>
    </w:rPr>
  </w:style>
  <w:style w:type="character" w:styleId="ListLabel1360" w:customStyle="1">
    <w:name w:val="ListLabel 1360"/>
    <w:qFormat/>
    <w:rPr>
      <w:rFonts w:cs="Wingdings"/>
    </w:rPr>
  </w:style>
  <w:style w:type="character" w:styleId="ListLabel1361" w:customStyle="1">
    <w:name w:val="ListLabel 1361"/>
    <w:qFormat/>
    <w:rPr>
      <w:rFonts w:cs="Symbol"/>
    </w:rPr>
  </w:style>
  <w:style w:type="character" w:styleId="ListLabel1362" w:customStyle="1">
    <w:name w:val="ListLabel 1362"/>
    <w:qFormat/>
    <w:rPr>
      <w:rFonts w:cs="Courier New"/>
    </w:rPr>
  </w:style>
  <w:style w:type="character" w:styleId="ListLabel1363" w:customStyle="1">
    <w:name w:val="ListLabel 1363"/>
    <w:qFormat/>
    <w:rPr>
      <w:rFonts w:cs="Wingdings"/>
    </w:rPr>
  </w:style>
  <w:style w:type="character" w:styleId="ListLabel1364" w:customStyle="1">
    <w:name w:val="ListLabel 1364"/>
    <w:qFormat/>
    <w:rPr>
      <w:rFonts w:cs="Symbol"/>
    </w:rPr>
  </w:style>
  <w:style w:type="character" w:styleId="ListLabel1365" w:customStyle="1">
    <w:name w:val="ListLabel 1365"/>
    <w:qFormat/>
    <w:rPr>
      <w:rFonts w:cs="Courier New"/>
    </w:rPr>
  </w:style>
  <w:style w:type="character" w:styleId="ListLabel1366" w:customStyle="1">
    <w:name w:val="ListLabel 1366"/>
    <w:qFormat/>
    <w:rPr>
      <w:rFonts w:cs="Wingdings"/>
    </w:rPr>
  </w:style>
  <w:style w:type="character" w:styleId="ListLabel1367" w:customStyle="1">
    <w:name w:val="ListLabel 1367"/>
    <w:qFormat/>
    <w:rPr>
      <w:rFonts w:cs="Symbol"/>
      <w:sz w:val="22"/>
    </w:rPr>
  </w:style>
  <w:style w:type="character" w:styleId="ListLabel1368" w:customStyle="1">
    <w:name w:val="ListLabel 1368"/>
    <w:qFormat/>
    <w:rPr>
      <w:rFonts w:cs="Courier New"/>
    </w:rPr>
  </w:style>
  <w:style w:type="character" w:styleId="ListLabel1369" w:customStyle="1">
    <w:name w:val="ListLabel 1369"/>
    <w:qFormat/>
    <w:rPr>
      <w:rFonts w:cs="Wingdings"/>
    </w:rPr>
  </w:style>
  <w:style w:type="character" w:styleId="ListLabel1370" w:customStyle="1">
    <w:name w:val="ListLabel 1370"/>
    <w:qFormat/>
    <w:rPr>
      <w:rFonts w:cs="Symbol"/>
    </w:rPr>
  </w:style>
  <w:style w:type="character" w:styleId="ListLabel1371" w:customStyle="1">
    <w:name w:val="ListLabel 1371"/>
    <w:qFormat/>
    <w:rPr>
      <w:rFonts w:cs="Courier New"/>
    </w:rPr>
  </w:style>
  <w:style w:type="character" w:styleId="ListLabel1372" w:customStyle="1">
    <w:name w:val="ListLabel 1372"/>
    <w:qFormat/>
    <w:rPr>
      <w:rFonts w:cs="Wingdings"/>
    </w:rPr>
  </w:style>
  <w:style w:type="character" w:styleId="ListLabel1373" w:customStyle="1">
    <w:name w:val="ListLabel 1373"/>
    <w:qFormat/>
    <w:rPr>
      <w:rFonts w:cs="Symbol"/>
    </w:rPr>
  </w:style>
  <w:style w:type="character" w:styleId="ListLabel1374" w:customStyle="1">
    <w:name w:val="ListLabel 1374"/>
    <w:qFormat/>
    <w:rPr>
      <w:rFonts w:cs="Courier New"/>
    </w:rPr>
  </w:style>
  <w:style w:type="character" w:styleId="ListLabel1375" w:customStyle="1">
    <w:name w:val="ListLabel 1375"/>
    <w:qFormat/>
    <w:rPr>
      <w:rFonts w:cs="Wingdings"/>
    </w:rPr>
  </w:style>
  <w:style w:type="character" w:styleId="ListLabel1376" w:customStyle="1">
    <w:name w:val="ListLabel 1376"/>
    <w:qFormat/>
    <w:rPr>
      <w:rFonts w:cs="OpenSymbol"/>
      <w:sz w:val="22"/>
    </w:rPr>
  </w:style>
  <w:style w:type="character" w:styleId="ListLabel1377" w:customStyle="1">
    <w:name w:val="ListLabel 1377"/>
    <w:qFormat/>
    <w:rPr>
      <w:rFonts w:cs="OpenSymbol"/>
    </w:rPr>
  </w:style>
  <w:style w:type="character" w:styleId="ListLabel1378" w:customStyle="1">
    <w:name w:val="ListLabel 1378"/>
    <w:qFormat/>
    <w:rPr>
      <w:rFonts w:cs="OpenSymbol"/>
    </w:rPr>
  </w:style>
  <w:style w:type="character" w:styleId="ListLabel1379" w:customStyle="1">
    <w:name w:val="ListLabel 1379"/>
    <w:qFormat/>
    <w:rPr>
      <w:rFonts w:cs="OpenSymbol"/>
    </w:rPr>
  </w:style>
  <w:style w:type="character" w:styleId="ListLabel1380" w:customStyle="1">
    <w:name w:val="ListLabel 1380"/>
    <w:qFormat/>
    <w:rPr>
      <w:rFonts w:cs="OpenSymbol"/>
    </w:rPr>
  </w:style>
  <w:style w:type="character" w:styleId="ListLabel1381" w:customStyle="1">
    <w:name w:val="ListLabel 1381"/>
    <w:qFormat/>
    <w:rPr>
      <w:rFonts w:cs="OpenSymbol"/>
    </w:rPr>
  </w:style>
  <w:style w:type="character" w:styleId="ListLabel1382" w:customStyle="1">
    <w:name w:val="ListLabel 1382"/>
    <w:qFormat/>
    <w:rPr>
      <w:rFonts w:cs="OpenSymbol"/>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b/>
    </w:rPr>
  </w:style>
  <w:style w:type="character" w:styleId="ListLabel1386" w:customStyle="1">
    <w:name w:val="ListLabel 1386"/>
    <w:qFormat/>
    <w:rPr>
      <w:i w:val="false"/>
    </w:rPr>
  </w:style>
  <w:style w:type="character" w:styleId="ListLabel1387" w:customStyle="1">
    <w:name w:val="ListLabel 1387"/>
    <w:qFormat/>
    <w:rPr>
      <w:rFonts w:cs="Symbol"/>
      <w:sz w:val="22"/>
    </w:rPr>
  </w:style>
  <w:style w:type="character" w:styleId="ListLabel1388" w:customStyle="1">
    <w:name w:val="ListLabel 1388"/>
    <w:qFormat/>
    <w:rPr>
      <w:rFonts w:cs="Courier New"/>
    </w:rPr>
  </w:style>
  <w:style w:type="character" w:styleId="ListLabel1389" w:customStyle="1">
    <w:name w:val="ListLabel 1389"/>
    <w:qFormat/>
    <w:rPr>
      <w:rFonts w:cs="Wingdings"/>
    </w:rPr>
  </w:style>
  <w:style w:type="character" w:styleId="ListLabel1390" w:customStyle="1">
    <w:name w:val="ListLabel 1390"/>
    <w:qFormat/>
    <w:rPr>
      <w:rFonts w:cs="Symbol"/>
    </w:rPr>
  </w:style>
  <w:style w:type="character" w:styleId="ListLabel1391" w:customStyle="1">
    <w:name w:val="ListLabel 1391"/>
    <w:qFormat/>
    <w:rPr>
      <w:rFonts w:cs="Courier New"/>
    </w:rPr>
  </w:style>
  <w:style w:type="character" w:styleId="ListLabel1392" w:customStyle="1">
    <w:name w:val="ListLabel 1392"/>
    <w:qFormat/>
    <w:rPr>
      <w:rFonts w:cs="Wingdings"/>
    </w:rPr>
  </w:style>
  <w:style w:type="character" w:styleId="ListLabel1393" w:customStyle="1">
    <w:name w:val="ListLabel 1393"/>
    <w:qFormat/>
    <w:rPr>
      <w:rFonts w:cs="Symbol"/>
    </w:rPr>
  </w:style>
  <w:style w:type="character" w:styleId="ListLabel1394" w:customStyle="1">
    <w:name w:val="ListLabel 1394"/>
    <w:qFormat/>
    <w:rPr>
      <w:rFonts w:cs="Courier New"/>
    </w:rPr>
  </w:style>
  <w:style w:type="character" w:styleId="ListLabel1395" w:customStyle="1">
    <w:name w:val="ListLabel 1395"/>
    <w:qFormat/>
    <w:rPr>
      <w:rFonts w:cs="Wingdings"/>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rPr>
  </w:style>
  <w:style w:type="character" w:styleId="ListLabel1399" w:customStyle="1">
    <w:name w:val="ListLabel 1399"/>
    <w:qFormat/>
    <w:rPr>
      <w:rFonts w:cs="OpenSymbol"/>
    </w:rPr>
  </w:style>
  <w:style w:type="character" w:styleId="ListLabel1400" w:customStyle="1">
    <w:name w:val="ListLabel 1400"/>
    <w:qFormat/>
    <w:rPr>
      <w:rFonts w:cs="OpenSymbol"/>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OpenSymbol"/>
    </w:rPr>
  </w:style>
  <w:style w:type="character" w:styleId="ListLabel1408" w:customStyle="1">
    <w:name w:val="ListLabel 1408"/>
    <w:qFormat/>
    <w:rPr>
      <w:rFonts w:cs="OpenSymbol"/>
    </w:rPr>
  </w:style>
  <w:style w:type="character" w:styleId="ListLabel1409" w:customStyle="1">
    <w:name w:val="ListLabel 1409"/>
    <w:qFormat/>
    <w:rPr>
      <w:rFonts w:cs="OpenSymbol"/>
    </w:rPr>
  </w:style>
  <w:style w:type="character" w:styleId="ListLabel1410" w:customStyle="1">
    <w:name w:val="ListLabel 1410"/>
    <w:qFormat/>
    <w:rPr>
      <w:rFonts w:cs="OpenSymbol"/>
    </w:rPr>
  </w:style>
  <w:style w:type="character" w:styleId="ListLabel1411" w:customStyle="1">
    <w:name w:val="ListLabel 1411"/>
    <w:qFormat/>
    <w:rPr>
      <w:rFonts w:cs="OpenSymbol"/>
    </w:rPr>
  </w:style>
  <w:style w:type="character" w:styleId="ListLabel1412" w:customStyle="1">
    <w:name w:val="ListLabel 1412"/>
    <w:qFormat/>
    <w:rPr>
      <w:rFonts w:cs="OpenSymbol"/>
    </w:rPr>
  </w:style>
  <w:style w:type="character" w:styleId="ListLabel1413" w:customStyle="1">
    <w:name w:val="ListLabel 1413"/>
    <w:qFormat/>
    <w:rPr>
      <w:rFonts w:cs="OpenSymbol"/>
    </w:rPr>
  </w:style>
  <w:style w:type="character" w:styleId="ListLabel1414" w:customStyle="1">
    <w:name w:val="ListLabel 1414"/>
    <w:qFormat/>
    <w:rPr>
      <w:rFonts w:ascii="Calibri" w:hAnsi="Calibri" w:cs="Symbol"/>
    </w:rPr>
  </w:style>
  <w:style w:type="character" w:styleId="ListLabel1415" w:customStyle="1">
    <w:name w:val="ListLabel 1415"/>
    <w:qFormat/>
    <w:rPr>
      <w:rFonts w:cs="Courier New"/>
    </w:rPr>
  </w:style>
  <w:style w:type="character" w:styleId="ListLabel1416" w:customStyle="1">
    <w:name w:val="ListLabel 1416"/>
    <w:qFormat/>
    <w:rPr>
      <w:rFonts w:cs="Wingdings"/>
    </w:rPr>
  </w:style>
  <w:style w:type="character" w:styleId="ListLabel1417" w:customStyle="1">
    <w:name w:val="ListLabel 1417"/>
    <w:qFormat/>
    <w:rPr>
      <w:rFonts w:cs="Symbol"/>
    </w:rPr>
  </w:style>
  <w:style w:type="character" w:styleId="ListLabel1418" w:customStyle="1">
    <w:name w:val="ListLabel 1418"/>
    <w:qFormat/>
    <w:rPr>
      <w:rFonts w:cs="Courier New"/>
    </w:rPr>
  </w:style>
  <w:style w:type="character" w:styleId="ListLabel1419" w:customStyle="1">
    <w:name w:val="ListLabel 1419"/>
    <w:qFormat/>
    <w:rPr>
      <w:rFonts w:cs="Wingdings"/>
    </w:rPr>
  </w:style>
  <w:style w:type="character" w:styleId="ListLabel1420" w:customStyle="1">
    <w:name w:val="ListLabel 1420"/>
    <w:qFormat/>
    <w:rPr>
      <w:rFonts w:cs="Symbol"/>
    </w:rPr>
  </w:style>
  <w:style w:type="character" w:styleId="ListLabel1421" w:customStyle="1">
    <w:name w:val="ListLabel 1421"/>
    <w:qFormat/>
    <w:rPr>
      <w:rFonts w:cs="Courier New"/>
    </w:rPr>
  </w:style>
  <w:style w:type="character" w:styleId="ListLabel1422" w:customStyle="1">
    <w:name w:val="ListLabel 1422"/>
    <w:qFormat/>
    <w:rPr>
      <w:rFonts w:cs="Wingdings"/>
    </w:rPr>
  </w:style>
  <w:style w:type="character" w:styleId="ListLabel1423" w:customStyle="1">
    <w:name w:val="ListLabel 1423"/>
    <w:qFormat/>
    <w:rPr>
      <w:rFonts w:cs="OpenSymbol"/>
    </w:rPr>
  </w:style>
  <w:style w:type="character" w:styleId="ListLabel1424" w:customStyle="1">
    <w:name w:val="ListLabel 1424"/>
    <w:qFormat/>
    <w:rPr>
      <w:rFonts w:cs="OpenSymbol"/>
    </w:rPr>
  </w:style>
  <w:style w:type="character" w:styleId="ListLabel1425" w:customStyle="1">
    <w:name w:val="ListLabel 1425"/>
    <w:qFormat/>
    <w:rPr>
      <w:rFonts w:cs="OpenSymbol"/>
    </w:rPr>
  </w:style>
  <w:style w:type="character" w:styleId="ListLabel1426" w:customStyle="1">
    <w:name w:val="ListLabel 1426"/>
    <w:qFormat/>
    <w:rPr>
      <w:rFonts w:cs="OpenSymbol"/>
    </w:rPr>
  </w:style>
  <w:style w:type="character" w:styleId="ListLabel1427" w:customStyle="1">
    <w:name w:val="ListLabel 1427"/>
    <w:qFormat/>
    <w:rPr>
      <w:rFonts w:cs="OpenSymbol"/>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rPr>
  </w:style>
  <w:style w:type="character" w:styleId="ListLabel1435" w:customStyle="1">
    <w:name w:val="ListLabel 1435"/>
    <w:qFormat/>
    <w:rPr>
      <w:rFonts w:cs="OpenSymbol"/>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rPr>
  </w:style>
  <w:style w:type="character" w:styleId="ListLabel1444" w:customStyle="1">
    <w:name w:val="ListLabel 1444"/>
    <w:qFormat/>
    <w:rPr>
      <w:rFonts w:cs="OpenSymbol"/>
    </w:rPr>
  </w:style>
  <w:style w:type="character" w:styleId="ListLabel1445" w:customStyle="1">
    <w:name w:val="ListLabel 1445"/>
    <w:qFormat/>
    <w:rPr>
      <w:rFonts w:cs="OpenSymbol"/>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OpenSymbol"/>
    </w:rPr>
  </w:style>
  <w:style w:type="character" w:styleId="ListLabel1453" w:customStyle="1">
    <w:name w:val="ListLabel 1453"/>
    <w:qFormat/>
    <w:rPr>
      <w:rFonts w:cs="OpenSymbol"/>
    </w:rPr>
  </w:style>
  <w:style w:type="character" w:styleId="ListLabel1454" w:customStyle="1">
    <w:name w:val="ListLabel 1454"/>
    <w:qFormat/>
    <w:rPr>
      <w:rFonts w:cs="OpenSymbol"/>
    </w:rPr>
  </w:style>
  <w:style w:type="character" w:styleId="ListLabel1455" w:customStyle="1">
    <w:name w:val="ListLabel 1455"/>
    <w:qFormat/>
    <w:rPr>
      <w:rFonts w:cs="OpenSymbol"/>
    </w:rPr>
  </w:style>
  <w:style w:type="character" w:styleId="ListLabel1456" w:customStyle="1">
    <w:name w:val="ListLabel 1456"/>
    <w:qFormat/>
    <w:rPr>
      <w:rFonts w:cs="OpenSymbol"/>
    </w:rPr>
  </w:style>
  <w:style w:type="character" w:styleId="ListLabel1457" w:customStyle="1">
    <w:name w:val="ListLabel 1457"/>
    <w:qFormat/>
    <w:rPr>
      <w:rFonts w:cs="OpenSymbol"/>
    </w:rPr>
  </w:style>
  <w:style w:type="character" w:styleId="ListLabel1458" w:customStyle="1">
    <w:name w:val="ListLabel 1458"/>
    <w:qFormat/>
    <w:rPr>
      <w:rFonts w:cs="OpenSymbol"/>
    </w:rPr>
  </w:style>
  <w:style w:type="character" w:styleId="ListLabel1459" w:customStyle="1">
    <w:name w:val="ListLabel 1459"/>
    <w:qFormat/>
    <w:rPr>
      <w:rFonts w:cs="OpenSymbol"/>
    </w:rPr>
  </w:style>
  <w:style w:type="character" w:styleId="ListLabel1460" w:customStyle="1">
    <w:name w:val="ListLabel 1460"/>
    <w:qFormat/>
    <w:rPr>
      <w:rFonts w:cs="OpenSymbol"/>
    </w:rPr>
  </w:style>
  <w:style w:type="character" w:styleId="ListLabel1461" w:customStyle="1">
    <w:name w:val="ListLabel 1461"/>
    <w:qFormat/>
    <w:rPr>
      <w:rFonts w:cs="OpenSymbol"/>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rPr>
  </w:style>
  <w:style w:type="character" w:styleId="ListLabel1467" w:customStyle="1">
    <w:name w:val="ListLabel 1467"/>
    <w:qFormat/>
    <w:rPr>
      <w:rFonts w:cs="OpenSymbol"/>
    </w:rPr>
  </w:style>
  <w:style w:type="character" w:styleId="ListLabel1468" w:customStyle="1">
    <w:name w:val="ListLabel 1468"/>
    <w:qFormat/>
    <w:rPr>
      <w:rFonts w:cs="OpenSymbol"/>
    </w:rPr>
  </w:style>
  <w:style w:type="character" w:styleId="ListLabel1469" w:customStyle="1">
    <w:name w:val="ListLabel 1469"/>
    <w:qFormat/>
    <w:rPr>
      <w:rFonts w:cs="OpenSymbol"/>
    </w:rPr>
  </w:style>
  <w:style w:type="character" w:styleId="ListLabel1470" w:customStyle="1">
    <w:name w:val="ListLabel 1470"/>
    <w:qFormat/>
    <w:rPr>
      <w:rFonts w:cs="OpenSymbol"/>
    </w:rPr>
  </w:style>
  <w:style w:type="character" w:styleId="ListLabel1471" w:customStyle="1">
    <w:name w:val="ListLabel 1471"/>
    <w:qFormat/>
    <w:rPr>
      <w:rFonts w:cs="OpenSymbol"/>
    </w:rPr>
  </w:style>
  <w:style w:type="character" w:styleId="ListLabel1472" w:customStyle="1">
    <w:name w:val="ListLabel 1472"/>
    <w:qFormat/>
    <w:rPr>
      <w:rFonts w:cs="OpenSymbol"/>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rPr>
  </w:style>
  <w:style w:type="character" w:styleId="ListLabel1480" w:customStyle="1">
    <w:name w:val="ListLabel 1480"/>
    <w:qFormat/>
    <w:rPr>
      <w:rFonts w:cs="OpenSymbol"/>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rPr>
  </w:style>
  <w:style w:type="character" w:styleId="ListLabel1489" w:customStyle="1">
    <w:name w:val="ListLabel 1489"/>
    <w:qFormat/>
    <w:rPr>
      <w:rFonts w:cs="OpenSymbol"/>
    </w:rPr>
  </w:style>
  <w:style w:type="character" w:styleId="ListLabel1490" w:customStyle="1">
    <w:name w:val="ListLabel 1490"/>
    <w:qFormat/>
    <w:rPr>
      <w:rFonts w:cs="OpenSymbol"/>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eastAsia="Times New Roman" w:cs="Trebuchet MS"/>
      <w:color w:val="000000"/>
      <w:sz w:val="24"/>
      <w:szCs w:val="24"/>
    </w:rPr>
  </w:style>
  <w:style w:type="character" w:styleId="ListLabel1496" w:customStyle="1">
    <w:name w:val="ListLabel 1496"/>
    <w:qFormat/>
    <w:rPr/>
  </w:style>
  <w:style w:type="character" w:styleId="ListLabel1497" w:customStyle="1">
    <w:name w:val="ListLabel 1497"/>
    <w:qFormat/>
    <w:rPr>
      <w:sz w:val="20"/>
    </w:rPr>
  </w:style>
  <w:style w:type="character" w:styleId="ListLabel1498" w:customStyle="1">
    <w:name w:val="ListLabel 1498"/>
    <w:qFormat/>
    <w:rPr>
      <w:sz w:val="16"/>
      <w:szCs w:val="16"/>
    </w:rPr>
  </w:style>
  <w:style w:type="character" w:styleId="ListLabel1499" w:customStyle="1">
    <w:name w:val="ListLabel 1499"/>
    <w:qFormat/>
    <w:rPr>
      <w:rFonts w:cs="Calibri"/>
      <w:color w:val="000000"/>
    </w:rPr>
  </w:style>
  <w:style w:type="character" w:styleId="ListLabel1500" w:customStyle="1">
    <w:name w:val="ListLabel 1500"/>
    <w:qFormat/>
    <w:rPr>
      <w:rFonts w:ascii="Arial" w:hAnsi="Arial" w:eastAsia="Times New Roman" w:cs="Arial"/>
      <w:sz w:val="18"/>
    </w:rPr>
  </w:style>
  <w:style w:type="character" w:styleId="ListLabel1501" w:customStyle="1">
    <w:name w:val="ListLabel 1501"/>
    <w:qFormat/>
    <w:rPr>
      <w:rFonts w:ascii="Arial" w:hAnsi="Arial" w:eastAsia="Times New Roman" w:cs="Arial"/>
      <w:b/>
      <w:bCs/>
      <w:sz w:val="18"/>
    </w:rPr>
  </w:style>
  <w:style w:type="character" w:styleId="ListLabel1502" w:customStyle="1">
    <w:name w:val="ListLabel 1502"/>
    <w:qFormat/>
    <w:rPr>
      <w:rFonts w:cs="Calibri"/>
    </w:rPr>
  </w:style>
  <w:style w:type="character" w:styleId="ListLabel1503" w:customStyle="1">
    <w:name w:val="ListLabel 1503"/>
    <w:qFormat/>
    <w:rPr>
      <w:rFonts w:cs="Calibri"/>
    </w:rPr>
  </w:style>
  <w:style w:type="character" w:styleId="ListLabel1504" w:customStyle="1">
    <w:name w:val="ListLabel 1504"/>
    <w:qFormat/>
    <w:rPr>
      <w:sz w:val="24"/>
      <w:szCs w:val="24"/>
    </w:rPr>
  </w:style>
  <w:style w:type="character" w:styleId="ListLabel1505" w:customStyle="1">
    <w:name w:val="ListLabel 1505"/>
    <w:qFormat/>
    <w:rPr>
      <w:b/>
      <w:bCs/>
      <w:i/>
      <w:sz w:val="28"/>
      <w:szCs w:val="28"/>
    </w:rPr>
  </w:style>
  <w:style w:type="character" w:styleId="ListLabel1506" w:customStyle="1">
    <w:name w:val="ListLabel 1506"/>
    <w:qFormat/>
    <w:rPr/>
  </w:style>
  <w:style w:type="character" w:styleId="ListLabel1507" w:customStyle="1">
    <w:name w:val="ListLabel 1507"/>
    <w:qFormat/>
    <w:rPr>
      <w:color w:val="000000" w:themeColor="text1"/>
      <w:highlight w:val="yellow"/>
    </w:rPr>
  </w:style>
  <w:style w:type="character" w:styleId="ListLabel1508" w:customStyle="1">
    <w:name w:val="ListLabel 1508"/>
    <w:qFormat/>
    <w:rPr>
      <w:rFonts w:cs="Symbol"/>
    </w:rPr>
  </w:style>
  <w:style w:type="character" w:styleId="ListLabel1509" w:customStyle="1">
    <w:name w:val="ListLabel 1509"/>
    <w:qFormat/>
    <w:rPr>
      <w:rFonts w:cs="Courier New"/>
    </w:rPr>
  </w:style>
  <w:style w:type="character" w:styleId="ListLabel1510" w:customStyle="1">
    <w:name w:val="ListLabel 1510"/>
    <w:qFormat/>
    <w:rPr>
      <w:rFonts w:cs="Wingdings"/>
    </w:rPr>
  </w:style>
  <w:style w:type="character" w:styleId="ListLabel1511" w:customStyle="1">
    <w:name w:val="ListLabel 1511"/>
    <w:qFormat/>
    <w:rPr>
      <w:rFonts w:cs="Symbol"/>
    </w:rPr>
  </w:style>
  <w:style w:type="character" w:styleId="ListLabel1512" w:customStyle="1">
    <w:name w:val="ListLabel 1512"/>
    <w:qFormat/>
    <w:rPr>
      <w:rFonts w:cs="Courier New"/>
    </w:rPr>
  </w:style>
  <w:style w:type="character" w:styleId="ListLabel1513" w:customStyle="1">
    <w:name w:val="ListLabel 1513"/>
    <w:qFormat/>
    <w:rPr>
      <w:rFonts w:cs="Wingdings"/>
    </w:rPr>
  </w:style>
  <w:style w:type="character" w:styleId="ListLabel1514" w:customStyle="1">
    <w:name w:val="ListLabel 1514"/>
    <w:qFormat/>
    <w:rPr>
      <w:rFonts w:cs="Symbol"/>
    </w:rPr>
  </w:style>
  <w:style w:type="character" w:styleId="ListLabel1515" w:customStyle="1">
    <w:name w:val="ListLabel 1515"/>
    <w:qFormat/>
    <w:rPr>
      <w:rFonts w:cs="Courier New"/>
    </w:rPr>
  </w:style>
  <w:style w:type="character" w:styleId="ListLabel1516" w:customStyle="1">
    <w:name w:val="ListLabel 1516"/>
    <w:qFormat/>
    <w:rPr>
      <w:rFonts w:cs="Wingdings"/>
    </w:rPr>
  </w:style>
  <w:style w:type="character" w:styleId="ListLabel1517" w:customStyle="1">
    <w:name w:val="ListLabel 1517"/>
    <w:qFormat/>
    <w:rPr>
      <w:rFonts w:cs="Symbol"/>
      <w:sz w:val="20"/>
    </w:rPr>
  </w:style>
  <w:style w:type="character" w:styleId="ListLabel1518" w:customStyle="1">
    <w:name w:val="ListLabel 1518"/>
    <w:qFormat/>
    <w:rPr>
      <w:rFonts w:cs="Symbol"/>
    </w:rPr>
  </w:style>
  <w:style w:type="character" w:styleId="ListLabel1519" w:customStyle="1">
    <w:name w:val="ListLabel 1519"/>
    <w:qFormat/>
    <w:rPr>
      <w:rFonts w:cs="Courier New"/>
    </w:rPr>
  </w:style>
  <w:style w:type="character" w:styleId="ListLabel1520" w:customStyle="1">
    <w:name w:val="ListLabel 1520"/>
    <w:qFormat/>
    <w:rPr>
      <w:rFonts w:cs="Courier New"/>
    </w:rPr>
  </w:style>
  <w:style w:type="character" w:styleId="ListLabel1521" w:customStyle="1">
    <w:name w:val="ListLabel 1521"/>
    <w:qFormat/>
    <w:rPr>
      <w:rFonts w:cs="Wingdings"/>
    </w:rPr>
  </w:style>
  <w:style w:type="character" w:styleId="ListLabel1522" w:customStyle="1">
    <w:name w:val="ListLabel 1522"/>
    <w:qFormat/>
    <w:rPr>
      <w:rFonts w:cs="Symbol"/>
    </w:rPr>
  </w:style>
  <w:style w:type="character" w:styleId="ListLabel1523" w:customStyle="1">
    <w:name w:val="ListLabel 1523"/>
    <w:qFormat/>
    <w:rPr>
      <w:rFonts w:cs="Courier New"/>
    </w:rPr>
  </w:style>
  <w:style w:type="character" w:styleId="ListLabel1524" w:customStyle="1">
    <w:name w:val="ListLabel 1524"/>
    <w:qFormat/>
    <w:rPr>
      <w:rFonts w:cs="Wingdings"/>
    </w:rPr>
  </w:style>
  <w:style w:type="character" w:styleId="ListLabel1525" w:customStyle="1">
    <w:name w:val="ListLabel 1525"/>
    <w:qFormat/>
    <w:rPr>
      <w:rFonts w:cs="Symbol"/>
    </w:rPr>
  </w:style>
  <w:style w:type="character" w:styleId="ListLabel1526" w:customStyle="1">
    <w:name w:val="ListLabel 1526"/>
    <w:qFormat/>
    <w:rPr>
      <w:rFonts w:cs="Courier New"/>
    </w:rPr>
  </w:style>
  <w:style w:type="character" w:styleId="ListLabel1527" w:customStyle="1">
    <w:name w:val="ListLabel 1527"/>
    <w:qFormat/>
    <w:rPr>
      <w:rFonts w:cs="Wingdings"/>
    </w:rPr>
  </w:style>
  <w:style w:type="character" w:styleId="ListLabel1528" w:customStyle="1">
    <w:name w:val="ListLabel 1528"/>
    <w:qFormat/>
    <w:rPr>
      <w:rFonts w:cs="Symbol"/>
      <w:sz w:val="22"/>
    </w:rPr>
  </w:style>
  <w:style w:type="character" w:styleId="ListLabel1529" w:customStyle="1">
    <w:name w:val="ListLabel 1529"/>
    <w:qFormat/>
    <w:rPr>
      <w:rFonts w:cs="Courier New"/>
    </w:rPr>
  </w:style>
  <w:style w:type="character" w:styleId="ListLabel1530" w:customStyle="1">
    <w:name w:val="ListLabel 1530"/>
    <w:qFormat/>
    <w:rPr>
      <w:rFonts w:cs="Wingdings"/>
    </w:rPr>
  </w:style>
  <w:style w:type="character" w:styleId="ListLabel1531" w:customStyle="1">
    <w:name w:val="ListLabel 1531"/>
    <w:qFormat/>
    <w:rPr>
      <w:rFonts w:cs="Symbol"/>
    </w:rPr>
  </w:style>
  <w:style w:type="character" w:styleId="ListLabel1532" w:customStyle="1">
    <w:name w:val="ListLabel 1532"/>
    <w:qFormat/>
    <w:rPr>
      <w:rFonts w:cs="Courier New"/>
    </w:rPr>
  </w:style>
  <w:style w:type="character" w:styleId="ListLabel1533" w:customStyle="1">
    <w:name w:val="ListLabel 1533"/>
    <w:qFormat/>
    <w:rPr>
      <w:rFonts w:cs="Wingdings"/>
    </w:rPr>
  </w:style>
  <w:style w:type="character" w:styleId="ListLabel1534" w:customStyle="1">
    <w:name w:val="ListLabel 1534"/>
    <w:qFormat/>
    <w:rPr>
      <w:rFonts w:cs="Symbol"/>
    </w:rPr>
  </w:style>
  <w:style w:type="character" w:styleId="ListLabel1535" w:customStyle="1">
    <w:name w:val="ListLabel 1535"/>
    <w:qFormat/>
    <w:rPr>
      <w:rFonts w:cs="Courier New"/>
    </w:rPr>
  </w:style>
  <w:style w:type="character" w:styleId="ListLabel1536" w:customStyle="1">
    <w:name w:val="ListLabel 1536"/>
    <w:qFormat/>
    <w:rPr>
      <w:rFonts w:cs="Wingdings"/>
    </w:rPr>
  </w:style>
  <w:style w:type="character" w:styleId="ListLabel1537" w:customStyle="1">
    <w:name w:val="ListLabel 1537"/>
    <w:qFormat/>
    <w:rPr>
      <w:rFonts w:cs="OpenSymbol"/>
      <w:sz w:val="22"/>
    </w:rPr>
  </w:style>
  <w:style w:type="character" w:styleId="ListLabel1538" w:customStyle="1">
    <w:name w:val="ListLabel 1538"/>
    <w:qFormat/>
    <w:rPr>
      <w:rFonts w:cs="OpenSymbol"/>
    </w:rPr>
  </w:style>
  <w:style w:type="character" w:styleId="ListLabel1539" w:customStyle="1">
    <w:name w:val="ListLabel 1539"/>
    <w:qFormat/>
    <w:rPr>
      <w:rFonts w:cs="OpenSymbol"/>
    </w:rPr>
  </w:style>
  <w:style w:type="character" w:styleId="ListLabel1540" w:customStyle="1">
    <w:name w:val="ListLabel 1540"/>
    <w:qFormat/>
    <w:rPr>
      <w:rFonts w:cs="OpenSymbol"/>
    </w:rPr>
  </w:style>
  <w:style w:type="character" w:styleId="ListLabel1541" w:customStyle="1">
    <w:name w:val="ListLabel 1541"/>
    <w:qFormat/>
    <w:rPr>
      <w:rFonts w:cs="OpenSymbol"/>
    </w:rPr>
  </w:style>
  <w:style w:type="character" w:styleId="ListLabel1542" w:customStyle="1">
    <w:name w:val="ListLabel 1542"/>
    <w:qFormat/>
    <w:rPr>
      <w:rFonts w:cs="OpenSymbol"/>
    </w:rPr>
  </w:style>
  <w:style w:type="character" w:styleId="ListLabel1543" w:customStyle="1">
    <w:name w:val="ListLabel 1543"/>
    <w:qFormat/>
    <w:rPr>
      <w:rFonts w:cs="OpenSymbol"/>
    </w:rPr>
  </w:style>
  <w:style w:type="character" w:styleId="ListLabel1544" w:customStyle="1">
    <w:name w:val="ListLabel 1544"/>
    <w:qFormat/>
    <w:rPr>
      <w:rFonts w:cs="OpenSymbol"/>
    </w:rPr>
  </w:style>
  <w:style w:type="character" w:styleId="ListLabel1545" w:customStyle="1">
    <w:name w:val="ListLabel 1545"/>
    <w:qFormat/>
    <w:rPr>
      <w:rFonts w:cs="OpenSymbol"/>
    </w:rPr>
  </w:style>
  <w:style w:type="character" w:styleId="ListLabel1546" w:customStyle="1">
    <w:name w:val="ListLabel 1546"/>
    <w:qFormat/>
    <w:rPr>
      <w:rFonts w:cs="OpenSymbol"/>
      <w:sz w:val="22"/>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rPr>
  </w:style>
  <w:style w:type="character" w:styleId="ListLabel1553" w:customStyle="1">
    <w:name w:val="ListLabel 1553"/>
    <w:qFormat/>
    <w:rPr>
      <w:rFonts w:cs="OpenSymbol"/>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cs="Symbol"/>
    </w:rPr>
  </w:style>
  <w:style w:type="character" w:styleId="ListLabel1564" w:customStyle="1">
    <w:name w:val="ListLabel 1564"/>
    <w:qFormat/>
    <w:rPr>
      <w:rFonts w:cs="Courier New"/>
    </w:rPr>
  </w:style>
  <w:style w:type="character" w:styleId="ListLabel1565" w:customStyle="1">
    <w:name w:val="ListLabel 1565"/>
    <w:qFormat/>
    <w:rPr>
      <w:rFonts w:cs="Wingdings"/>
    </w:rPr>
  </w:style>
  <w:style w:type="character" w:styleId="ListLabel1566" w:customStyle="1">
    <w:name w:val="ListLabel 1566"/>
    <w:qFormat/>
    <w:rPr>
      <w:rFonts w:cs="Symbol"/>
    </w:rPr>
  </w:style>
  <w:style w:type="character" w:styleId="ListLabel1567" w:customStyle="1">
    <w:name w:val="ListLabel 1567"/>
    <w:qFormat/>
    <w:rPr>
      <w:rFonts w:cs="Courier New"/>
    </w:rPr>
  </w:style>
  <w:style w:type="character" w:styleId="ListLabel1568" w:customStyle="1">
    <w:name w:val="ListLabel 1568"/>
    <w:qFormat/>
    <w:rPr>
      <w:rFonts w:cs="Wingdings"/>
    </w:rPr>
  </w:style>
  <w:style w:type="character" w:styleId="ListLabel1569" w:customStyle="1">
    <w:name w:val="ListLabel 1569"/>
    <w:qFormat/>
    <w:rPr>
      <w:rFonts w:cs="Symbol"/>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Symbol"/>
    </w:rPr>
  </w:style>
  <w:style w:type="character" w:styleId="ListLabel1574" w:customStyle="1">
    <w:name w:val="ListLabel 1574"/>
    <w:qFormat/>
    <w:rPr>
      <w:rFonts w:cs="Wingdings"/>
    </w:rPr>
  </w:style>
  <w:style w:type="character" w:styleId="ListLabel1575" w:customStyle="1">
    <w:name w:val="ListLabel 1575"/>
    <w:qFormat/>
    <w:rPr>
      <w:rFonts w:cs="Symbol"/>
    </w:rPr>
  </w:style>
  <w:style w:type="character" w:styleId="ListLabel1576" w:customStyle="1">
    <w:name w:val="ListLabel 1576"/>
    <w:qFormat/>
    <w:rPr>
      <w:rFonts w:cs="Courier New"/>
    </w:rPr>
  </w:style>
  <w:style w:type="character" w:styleId="ListLabel1577" w:customStyle="1">
    <w:name w:val="ListLabel 1577"/>
    <w:qFormat/>
    <w:rPr>
      <w:rFonts w:cs="Wingdings"/>
    </w:rPr>
  </w:style>
  <w:style w:type="character" w:styleId="ListLabel1578" w:customStyle="1">
    <w:name w:val="ListLabel 1578"/>
    <w:qFormat/>
    <w:rPr>
      <w:rFonts w:cs="Symbol"/>
    </w:rPr>
  </w:style>
  <w:style w:type="character" w:styleId="ListLabel1579" w:customStyle="1">
    <w:name w:val="ListLabel 1579"/>
    <w:qFormat/>
    <w:rPr>
      <w:rFonts w:cs="Courier New"/>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Symbol"/>
    </w:rPr>
  </w:style>
  <w:style w:type="character" w:styleId="ListLabel1583" w:customStyle="1">
    <w:name w:val="ListLabel 1583"/>
    <w:qFormat/>
    <w:rPr>
      <w:rFonts w:cs="Courier New"/>
    </w:rPr>
  </w:style>
  <w:style w:type="character" w:styleId="ListLabel1584" w:customStyle="1">
    <w:name w:val="ListLabel 1584"/>
    <w:qFormat/>
    <w:rPr>
      <w:rFonts w:cs="Symbol"/>
      <w:sz w:val="20"/>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Symbol"/>
    </w:rPr>
  </w:style>
  <w:style w:type="character" w:styleId="ListLabel1588" w:customStyle="1">
    <w:name w:val="ListLabel 1588"/>
    <w:qFormat/>
    <w:rPr>
      <w:rFonts w:cs="Courier New"/>
    </w:rPr>
  </w:style>
  <w:style w:type="character" w:styleId="ListLabel1589" w:customStyle="1">
    <w:name w:val="ListLabel 1589"/>
    <w:qFormat/>
    <w:rPr>
      <w:rFonts w:cs="Wingdings"/>
    </w:rPr>
  </w:style>
  <w:style w:type="character" w:styleId="ListLabel1590" w:customStyle="1">
    <w:name w:val="ListLabel 1590"/>
    <w:qFormat/>
    <w:rPr>
      <w:rFonts w:cs="Symbol"/>
    </w:rPr>
  </w:style>
  <w:style w:type="character" w:styleId="ListLabel1591" w:customStyle="1">
    <w:name w:val="ListLabel 1591"/>
    <w:qFormat/>
    <w:rPr>
      <w:rFonts w:cs="Courier New"/>
    </w:rPr>
  </w:style>
  <w:style w:type="character" w:styleId="ListLabel1592" w:customStyle="1">
    <w:name w:val="ListLabel 1592"/>
    <w:qFormat/>
    <w:rPr>
      <w:rFonts w:cs="Wingdings"/>
    </w:rPr>
  </w:style>
  <w:style w:type="character" w:styleId="ListLabel1593" w:customStyle="1">
    <w:name w:val="ListLabel 1593"/>
    <w:qFormat/>
    <w:rPr>
      <w:rFonts w:cs="Symbol"/>
      <w:sz w:val="22"/>
    </w:rPr>
  </w:style>
  <w:style w:type="character" w:styleId="ListLabel1594" w:customStyle="1">
    <w:name w:val="ListLabel 1594"/>
    <w:qFormat/>
    <w:rPr>
      <w:rFonts w:cs="Courier New"/>
    </w:rPr>
  </w:style>
  <w:style w:type="character" w:styleId="ListLabel1595" w:customStyle="1">
    <w:name w:val="ListLabel 1595"/>
    <w:qFormat/>
    <w:rPr>
      <w:rFonts w:cs="Wingdings"/>
    </w:rPr>
  </w:style>
  <w:style w:type="character" w:styleId="ListLabel1596" w:customStyle="1">
    <w:name w:val="ListLabel 1596"/>
    <w:qFormat/>
    <w:rPr>
      <w:rFonts w:cs="Symbol"/>
    </w:rPr>
  </w:style>
  <w:style w:type="character" w:styleId="ListLabel1597" w:customStyle="1">
    <w:name w:val="ListLabel 1597"/>
    <w:qFormat/>
    <w:rPr>
      <w:rFonts w:cs="Courier New"/>
    </w:rPr>
  </w:style>
  <w:style w:type="character" w:styleId="ListLabel1598" w:customStyle="1">
    <w:name w:val="ListLabel 1598"/>
    <w:qFormat/>
    <w:rPr>
      <w:rFonts w:cs="Wingdings"/>
    </w:rPr>
  </w:style>
  <w:style w:type="character" w:styleId="ListLabel1599" w:customStyle="1">
    <w:name w:val="ListLabel 1599"/>
    <w:qFormat/>
    <w:rPr>
      <w:rFonts w:cs="Symbol"/>
    </w:rPr>
  </w:style>
  <w:style w:type="character" w:styleId="ListLabel1600" w:customStyle="1">
    <w:name w:val="ListLabel 1600"/>
    <w:qFormat/>
    <w:rPr>
      <w:rFonts w:cs="Courier New"/>
    </w:rPr>
  </w:style>
  <w:style w:type="character" w:styleId="ListLabel1601" w:customStyle="1">
    <w:name w:val="ListLabel 1601"/>
    <w:qFormat/>
    <w:rPr>
      <w:rFonts w:cs="Wingdings"/>
    </w:rPr>
  </w:style>
  <w:style w:type="character" w:styleId="ListLabel1602" w:customStyle="1">
    <w:name w:val="ListLabel 1602"/>
    <w:qFormat/>
    <w:rPr>
      <w:rFonts w:cs="OpenSymbol"/>
      <w:sz w:val="22"/>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rPr>
  </w:style>
  <w:style w:type="character" w:styleId="ListLabel1609" w:customStyle="1">
    <w:name w:val="ListLabel 1609"/>
    <w:qFormat/>
    <w:rPr>
      <w:rFonts w:cs="OpenSymbol"/>
    </w:rPr>
  </w:style>
  <w:style w:type="character" w:styleId="ListLabel1610" w:customStyle="1">
    <w:name w:val="ListLabel 1610"/>
    <w:qFormat/>
    <w:rPr>
      <w:rFonts w:cs="OpenSymbol"/>
    </w:rPr>
  </w:style>
  <w:style w:type="character" w:styleId="ListLabel1611" w:customStyle="1">
    <w:name w:val="ListLabel 1611"/>
    <w:qFormat/>
    <w:rPr>
      <w:b/>
    </w:rPr>
  </w:style>
  <w:style w:type="character" w:styleId="ListLabel1612" w:customStyle="1">
    <w:name w:val="ListLabel 1612"/>
    <w:qFormat/>
    <w:rPr>
      <w:i w:val="false"/>
    </w:rPr>
  </w:style>
  <w:style w:type="character" w:styleId="ListLabel1613" w:customStyle="1">
    <w:name w:val="ListLabel 1613"/>
    <w:qFormat/>
    <w:rPr>
      <w:rFonts w:cs="Symbol"/>
      <w:sz w:val="22"/>
    </w:rPr>
  </w:style>
  <w:style w:type="character" w:styleId="ListLabel1614" w:customStyle="1">
    <w:name w:val="ListLabel 1614"/>
    <w:qFormat/>
    <w:rPr>
      <w:rFonts w:cs="Courier New"/>
    </w:rPr>
  </w:style>
  <w:style w:type="character" w:styleId="ListLabel1615" w:customStyle="1">
    <w:name w:val="ListLabel 1615"/>
    <w:qFormat/>
    <w:rPr>
      <w:rFonts w:cs="Wingdings"/>
    </w:rPr>
  </w:style>
  <w:style w:type="character" w:styleId="ListLabel1616" w:customStyle="1">
    <w:name w:val="ListLabel 1616"/>
    <w:qFormat/>
    <w:rPr>
      <w:rFonts w:cs="Symbol"/>
    </w:rPr>
  </w:style>
  <w:style w:type="character" w:styleId="ListLabel1617" w:customStyle="1">
    <w:name w:val="ListLabel 1617"/>
    <w:qFormat/>
    <w:rPr>
      <w:rFonts w:cs="Courier New"/>
    </w:rPr>
  </w:style>
  <w:style w:type="character" w:styleId="ListLabel1618" w:customStyle="1">
    <w:name w:val="ListLabel 1618"/>
    <w:qFormat/>
    <w:rPr>
      <w:rFonts w:cs="Wingdings"/>
    </w:rPr>
  </w:style>
  <w:style w:type="character" w:styleId="ListLabel1619" w:customStyle="1">
    <w:name w:val="ListLabel 1619"/>
    <w:qFormat/>
    <w:rPr>
      <w:rFonts w:cs="Symbol"/>
    </w:rPr>
  </w:style>
  <w:style w:type="character" w:styleId="ListLabel1620" w:customStyle="1">
    <w:name w:val="ListLabel 1620"/>
    <w:qFormat/>
    <w:rPr>
      <w:rFonts w:cs="Courier New"/>
    </w:rPr>
  </w:style>
  <w:style w:type="character" w:styleId="ListLabel1621" w:customStyle="1">
    <w:name w:val="ListLabel 1621"/>
    <w:qFormat/>
    <w:rPr>
      <w:rFonts w:cs="Wingdings"/>
    </w:rPr>
  </w:style>
  <w:style w:type="character" w:styleId="ListLabel1622" w:customStyle="1">
    <w:name w:val="ListLabel 1622"/>
    <w:qFormat/>
    <w:rPr>
      <w:rFonts w:cs="OpenSymbol"/>
    </w:rPr>
  </w:style>
  <w:style w:type="character" w:styleId="ListLabel1623" w:customStyle="1">
    <w:name w:val="ListLabel 1623"/>
    <w:qFormat/>
    <w:rPr>
      <w:rFonts w:cs="OpenSymbol"/>
    </w:rPr>
  </w:style>
  <w:style w:type="character" w:styleId="ListLabel1624" w:customStyle="1">
    <w:name w:val="ListLabel 1624"/>
    <w:qFormat/>
    <w:rPr>
      <w:rFonts w:cs="OpenSymbol"/>
    </w:rPr>
  </w:style>
  <w:style w:type="character" w:styleId="ListLabel1625" w:customStyle="1">
    <w:name w:val="ListLabel 1625"/>
    <w:qFormat/>
    <w:rPr>
      <w:rFonts w:cs="OpenSymbol"/>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rPr>
  </w:style>
  <w:style w:type="character" w:styleId="ListLabel1633" w:customStyle="1">
    <w:name w:val="ListLabel 1633"/>
    <w:qFormat/>
    <w:rPr>
      <w:rFonts w:cs="OpenSymbol"/>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ascii="Calibri" w:hAnsi="Calibri" w:cs="Symbol"/>
    </w:rPr>
  </w:style>
  <w:style w:type="character" w:styleId="ListLabel1641" w:customStyle="1">
    <w:name w:val="ListLabel 1641"/>
    <w:qFormat/>
    <w:rPr>
      <w:rFonts w:cs="Courier New"/>
    </w:rPr>
  </w:style>
  <w:style w:type="character" w:styleId="ListLabel1642" w:customStyle="1">
    <w:name w:val="ListLabel 1642"/>
    <w:qFormat/>
    <w:rPr>
      <w:rFonts w:cs="Wingdings"/>
    </w:rPr>
  </w:style>
  <w:style w:type="character" w:styleId="ListLabel1643" w:customStyle="1">
    <w:name w:val="ListLabel 1643"/>
    <w:qFormat/>
    <w:rPr>
      <w:rFonts w:cs="Symbol"/>
    </w:rPr>
  </w:style>
  <w:style w:type="character" w:styleId="ListLabel1644" w:customStyle="1">
    <w:name w:val="ListLabel 1644"/>
    <w:qFormat/>
    <w:rPr>
      <w:rFonts w:cs="Courier New"/>
    </w:rPr>
  </w:style>
  <w:style w:type="character" w:styleId="ListLabel1645" w:customStyle="1">
    <w:name w:val="ListLabel 1645"/>
    <w:qFormat/>
    <w:rPr>
      <w:rFonts w:cs="Wingdings"/>
    </w:rPr>
  </w:style>
  <w:style w:type="character" w:styleId="ListLabel1646" w:customStyle="1">
    <w:name w:val="ListLabel 1646"/>
    <w:qFormat/>
    <w:rPr>
      <w:rFonts w:cs="Symbol"/>
    </w:rPr>
  </w:style>
  <w:style w:type="character" w:styleId="ListLabel1647" w:customStyle="1">
    <w:name w:val="ListLabel 1647"/>
    <w:qFormat/>
    <w:rPr>
      <w:rFonts w:cs="Courier New"/>
    </w:rPr>
  </w:style>
  <w:style w:type="character" w:styleId="ListLabel1648" w:customStyle="1">
    <w:name w:val="ListLabel 1648"/>
    <w:qFormat/>
    <w:rPr>
      <w:rFonts w:cs="Wingdings"/>
    </w:rPr>
  </w:style>
  <w:style w:type="character" w:styleId="ListLabel1649" w:customStyle="1">
    <w:name w:val="ListLabel 1649"/>
    <w:qFormat/>
    <w:rPr>
      <w:rFonts w:cs="OpenSymbol"/>
    </w:rPr>
  </w:style>
  <w:style w:type="character" w:styleId="ListLabel1650" w:customStyle="1">
    <w:name w:val="ListLabel 1650"/>
    <w:qFormat/>
    <w:rPr>
      <w:rFonts w:cs="OpenSymbol"/>
    </w:rPr>
  </w:style>
  <w:style w:type="character" w:styleId="ListLabel1651" w:customStyle="1">
    <w:name w:val="ListLabel 1651"/>
    <w:qFormat/>
    <w:rPr>
      <w:rFonts w:cs="OpenSymbol"/>
    </w:rPr>
  </w:style>
  <w:style w:type="character" w:styleId="ListLabel1652" w:customStyle="1">
    <w:name w:val="ListLabel 1652"/>
    <w:qFormat/>
    <w:rPr>
      <w:rFonts w:cs="OpenSymbol"/>
    </w:rPr>
  </w:style>
  <w:style w:type="character" w:styleId="ListLabel1653" w:customStyle="1">
    <w:name w:val="ListLabel 1653"/>
    <w:qFormat/>
    <w:rPr>
      <w:rFonts w:cs="OpenSymbol"/>
    </w:rPr>
  </w:style>
  <w:style w:type="character" w:styleId="ListLabel1654" w:customStyle="1">
    <w:name w:val="ListLabel 1654"/>
    <w:qFormat/>
    <w:rPr>
      <w:rFonts w:cs="OpenSymbol"/>
    </w:rPr>
  </w:style>
  <w:style w:type="character" w:styleId="ListLabel1655" w:customStyle="1">
    <w:name w:val="ListLabel 1655"/>
    <w:qFormat/>
    <w:rPr>
      <w:rFonts w:cs="OpenSymbol"/>
    </w:rPr>
  </w:style>
  <w:style w:type="character" w:styleId="ListLabel1656" w:customStyle="1">
    <w:name w:val="ListLabel 1656"/>
    <w:qFormat/>
    <w:rPr>
      <w:rFonts w:cs="OpenSymbol"/>
    </w:rPr>
  </w:style>
  <w:style w:type="character" w:styleId="ListLabel1657" w:customStyle="1">
    <w:name w:val="ListLabel 1657"/>
    <w:qFormat/>
    <w:rPr>
      <w:rFonts w:cs="OpenSymbol"/>
    </w:rPr>
  </w:style>
  <w:style w:type="character" w:styleId="ListLabel1658" w:customStyle="1">
    <w:name w:val="ListLabel 1658"/>
    <w:qFormat/>
    <w:rPr>
      <w:rFonts w:cs="OpenSymbol"/>
    </w:rPr>
  </w:style>
  <w:style w:type="character" w:styleId="ListLabel1659" w:customStyle="1">
    <w:name w:val="ListLabel 1659"/>
    <w:qFormat/>
    <w:rPr>
      <w:rFonts w:cs="OpenSymbol"/>
    </w:rPr>
  </w:style>
  <w:style w:type="character" w:styleId="ListLabel1660" w:customStyle="1">
    <w:name w:val="ListLabel 1660"/>
    <w:qFormat/>
    <w:rPr>
      <w:rFonts w:cs="OpenSymbol"/>
    </w:rPr>
  </w:style>
  <w:style w:type="character" w:styleId="ListLabel1661" w:customStyle="1">
    <w:name w:val="ListLabel 1661"/>
    <w:qFormat/>
    <w:rPr>
      <w:rFonts w:cs="OpenSymbol"/>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rPr>
  </w:style>
  <w:style w:type="character" w:styleId="ListLabel1669" w:customStyle="1">
    <w:name w:val="ListLabel 1669"/>
    <w:qFormat/>
    <w:rPr>
      <w:rFonts w:cs="OpenSymbol"/>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OpenSymbol"/>
    </w:rPr>
  </w:style>
  <w:style w:type="character" w:styleId="ListLabel1678" w:customStyle="1">
    <w:name w:val="ListLabel 1678"/>
    <w:qFormat/>
    <w:rPr>
      <w:rFonts w:cs="OpenSymbol"/>
    </w:rPr>
  </w:style>
  <w:style w:type="character" w:styleId="ListLabel1679" w:customStyle="1">
    <w:name w:val="ListLabel 1679"/>
    <w:qFormat/>
    <w:rPr>
      <w:rFonts w:cs="OpenSymbol"/>
    </w:rPr>
  </w:style>
  <w:style w:type="character" w:styleId="ListLabel1680" w:customStyle="1">
    <w:name w:val="ListLabel 1680"/>
    <w:qFormat/>
    <w:rPr>
      <w:rFonts w:cs="OpenSymbol"/>
    </w:rPr>
  </w:style>
  <w:style w:type="character" w:styleId="ListLabel1681" w:customStyle="1">
    <w:name w:val="ListLabel 1681"/>
    <w:qFormat/>
    <w:rPr>
      <w:rFonts w:cs="OpenSymbol"/>
    </w:rPr>
  </w:style>
  <w:style w:type="character" w:styleId="ListLabel1682" w:customStyle="1">
    <w:name w:val="ListLabel 1682"/>
    <w:qFormat/>
    <w:rPr>
      <w:rFonts w:cs="OpenSymbol"/>
    </w:rPr>
  </w:style>
  <w:style w:type="character" w:styleId="ListLabel1683" w:customStyle="1">
    <w:name w:val="ListLabel 1683"/>
    <w:qFormat/>
    <w:rPr>
      <w:rFonts w:cs="OpenSymbol"/>
    </w:rPr>
  </w:style>
  <w:style w:type="character" w:styleId="ListLabel1684" w:customStyle="1">
    <w:name w:val="ListLabel 1684"/>
    <w:qFormat/>
    <w:rPr>
      <w:rFonts w:cs="OpenSymbol"/>
    </w:rPr>
  </w:style>
  <w:style w:type="character" w:styleId="ListLabel1685" w:customStyle="1">
    <w:name w:val="ListLabel 1685"/>
    <w:qFormat/>
    <w:rPr>
      <w:rFonts w:cs="OpenSymbol"/>
    </w:rPr>
  </w:style>
  <w:style w:type="character" w:styleId="ListLabel1686" w:customStyle="1">
    <w:name w:val="ListLabel 1686"/>
    <w:qFormat/>
    <w:rPr>
      <w:rFonts w:cs="OpenSymbol"/>
    </w:rPr>
  </w:style>
  <w:style w:type="character" w:styleId="ListLabel1687" w:customStyle="1">
    <w:name w:val="ListLabel 1687"/>
    <w:qFormat/>
    <w:rPr>
      <w:rFonts w:cs="OpenSymbol"/>
    </w:rPr>
  </w:style>
  <w:style w:type="character" w:styleId="ListLabel1688" w:customStyle="1">
    <w:name w:val="ListLabel 1688"/>
    <w:qFormat/>
    <w:rPr>
      <w:rFonts w:cs="OpenSymbol"/>
    </w:rPr>
  </w:style>
  <w:style w:type="character" w:styleId="ListLabel1689" w:customStyle="1">
    <w:name w:val="ListLabel 1689"/>
    <w:qFormat/>
    <w:rPr>
      <w:rFonts w:cs="OpenSymbol"/>
    </w:rPr>
  </w:style>
  <w:style w:type="character" w:styleId="ListLabel1690" w:customStyle="1">
    <w:name w:val="ListLabel 1690"/>
    <w:qFormat/>
    <w:rPr>
      <w:rFonts w:cs="OpenSymbol"/>
    </w:rPr>
  </w:style>
  <w:style w:type="character" w:styleId="ListLabel1691" w:customStyle="1">
    <w:name w:val="ListLabel 1691"/>
    <w:qFormat/>
    <w:rPr>
      <w:rFonts w:cs="OpenSymbol"/>
    </w:rPr>
  </w:style>
  <w:style w:type="character" w:styleId="ListLabel1692" w:customStyle="1">
    <w:name w:val="ListLabel 1692"/>
    <w:qFormat/>
    <w:rPr>
      <w:rFonts w:cs="OpenSymbol"/>
    </w:rPr>
  </w:style>
  <w:style w:type="character" w:styleId="ListLabel1693" w:customStyle="1">
    <w:name w:val="ListLabel 1693"/>
    <w:qFormat/>
    <w:rPr>
      <w:rFonts w:cs="OpenSymbol"/>
    </w:rPr>
  </w:style>
  <w:style w:type="character" w:styleId="ListLabel1694" w:customStyle="1">
    <w:name w:val="ListLabel 1694"/>
    <w:qFormat/>
    <w:rPr>
      <w:rFonts w:cs="OpenSymbol"/>
    </w:rPr>
  </w:style>
  <w:style w:type="character" w:styleId="ListLabel1695" w:customStyle="1">
    <w:name w:val="ListLabel 1695"/>
    <w:qFormat/>
    <w:rPr>
      <w:rFonts w:cs="OpenSymbol"/>
    </w:rPr>
  </w:style>
  <w:style w:type="character" w:styleId="ListLabel1696" w:customStyle="1">
    <w:name w:val="ListLabel 1696"/>
    <w:qFormat/>
    <w:rPr>
      <w:rFonts w:cs="OpenSymbol"/>
    </w:rPr>
  </w:style>
  <w:style w:type="character" w:styleId="ListLabel1697" w:customStyle="1">
    <w:name w:val="ListLabel 1697"/>
    <w:qFormat/>
    <w:rPr>
      <w:rFonts w:cs="OpenSymbol"/>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rPr>
  </w:style>
  <w:style w:type="character" w:styleId="ListLabel1705" w:customStyle="1">
    <w:name w:val="ListLabel 1705"/>
    <w:qFormat/>
    <w:rPr>
      <w:rFonts w:cs="OpenSymbol"/>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OpenSymbol"/>
    </w:rPr>
  </w:style>
  <w:style w:type="character" w:styleId="ListLabel1714" w:customStyle="1">
    <w:name w:val="ListLabel 1714"/>
    <w:qFormat/>
    <w:rPr>
      <w:rFonts w:cs="OpenSymbol"/>
    </w:rPr>
  </w:style>
  <w:style w:type="character" w:styleId="ListLabel1715" w:customStyle="1">
    <w:name w:val="ListLabel 1715"/>
    <w:qFormat/>
    <w:rPr>
      <w:rFonts w:cs="OpenSymbol"/>
    </w:rPr>
  </w:style>
  <w:style w:type="character" w:styleId="ListLabel1716" w:customStyle="1">
    <w:name w:val="ListLabel 1716"/>
    <w:qFormat/>
    <w:rPr>
      <w:rFonts w:cs="OpenSymbol"/>
    </w:rPr>
  </w:style>
  <w:style w:type="character" w:styleId="ListLabel1717" w:customStyle="1">
    <w:name w:val="ListLabel 1717"/>
    <w:qFormat/>
    <w:rPr>
      <w:rFonts w:cs="OpenSymbol"/>
    </w:rPr>
  </w:style>
  <w:style w:type="character" w:styleId="ListLabel1718" w:customStyle="1">
    <w:name w:val="ListLabel 1718"/>
    <w:qFormat/>
    <w:rPr>
      <w:rFonts w:cs="OpenSymbol"/>
    </w:rPr>
  </w:style>
  <w:style w:type="character" w:styleId="ListLabel1719" w:customStyle="1">
    <w:name w:val="ListLabel 1719"/>
    <w:qFormat/>
    <w:rPr>
      <w:rFonts w:cs="OpenSymbol"/>
    </w:rPr>
  </w:style>
  <w:style w:type="character" w:styleId="ListLabel1720" w:customStyle="1">
    <w:name w:val="ListLabel 1720"/>
    <w:qFormat/>
    <w:rPr>
      <w:rFonts w:cs="OpenSymbol"/>
    </w:rPr>
  </w:style>
  <w:style w:type="character" w:styleId="ListLabel1721" w:customStyle="1">
    <w:name w:val="ListLabel 1721"/>
    <w:qFormat/>
    <w:rPr>
      <w:rFonts w:eastAsia="Times New Roman" w:cs="Trebuchet MS"/>
      <w:color w:val="000000"/>
      <w:sz w:val="24"/>
      <w:szCs w:val="24"/>
    </w:rPr>
  </w:style>
  <w:style w:type="character" w:styleId="ListLabel1722" w:customStyle="1">
    <w:name w:val="ListLabel 1722"/>
    <w:qFormat/>
    <w:rPr/>
  </w:style>
  <w:style w:type="character" w:styleId="ListLabel1723" w:customStyle="1">
    <w:name w:val="ListLabel 1723"/>
    <w:qFormat/>
    <w:rPr>
      <w:sz w:val="20"/>
    </w:rPr>
  </w:style>
  <w:style w:type="character" w:styleId="ListLabel1724" w:customStyle="1">
    <w:name w:val="ListLabel 1724"/>
    <w:qFormat/>
    <w:rPr>
      <w:sz w:val="16"/>
      <w:szCs w:val="16"/>
    </w:rPr>
  </w:style>
  <w:style w:type="character" w:styleId="ListLabel1725" w:customStyle="1">
    <w:name w:val="ListLabel 1725"/>
    <w:qFormat/>
    <w:rPr>
      <w:rFonts w:cs="Calibri"/>
      <w:color w:val="000000"/>
    </w:rPr>
  </w:style>
  <w:style w:type="character" w:styleId="ListLabel1726" w:customStyle="1">
    <w:name w:val="ListLabel 1726"/>
    <w:qFormat/>
    <w:rPr>
      <w:rFonts w:ascii="Arial" w:hAnsi="Arial" w:eastAsia="Times New Roman" w:cs="Arial"/>
      <w:sz w:val="18"/>
    </w:rPr>
  </w:style>
  <w:style w:type="character" w:styleId="ListLabel1727" w:customStyle="1">
    <w:name w:val="ListLabel 1727"/>
    <w:qFormat/>
    <w:rPr>
      <w:rFonts w:ascii="Arial" w:hAnsi="Arial" w:eastAsia="Times New Roman" w:cs="Arial"/>
      <w:b/>
      <w:bCs/>
      <w:sz w:val="18"/>
    </w:rPr>
  </w:style>
  <w:style w:type="character" w:styleId="ListLabel1728" w:customStyle="1">
    <w:name w:val="ListLabel 1728"/>
    <w:qFormat/>
    <w:rPr>
      <w:rFonts w:cs="Calibri"/>
    </w:rPr>
  </w:style>
  <w:style w:type="character" w:styleId="ListLabel1729" w:customStyle="1">
    <w:name w:val="ListLabel 1729"/>
    <w:qFormat/>
    <w:rPr>
      <w:rFonts w:cs="Calibri"/>
    </w:rPr>
  </w:style>
  <w:style w:type="character" w:styleId="ListLabel1730" w:customStyle="1">
    <w:name w:val="ListLabel 1730"/>
    <w:qFormat/>
    <w:rPr>
      <w:sz w:val="24"/>
      <w:szCs w:val="24"/>
    </w:rPr>
  </w:style>
  <w:style w:type="character" w:styleId="ListLabel1731" w:customStyle="1">
    <w:name w:val="ListLabel 1731"/>
    <w:qFormat/>
    <w:rPr>
      <w:b/>
      <w:bCs/>
      <w:i/>
      <w:sz w:val="28"/>
      <w:szCs w:val="28"/>
    </w:rPr>
  </w:style>
  <w:style w:type="character" w:styleId="ListLabel1732" w:customStyle="1">
    <w:name w:val="ListLabel 1732"/>
    <w:qFormat/>
    <w:rPr/>
  </w:style>
  <w:style w:type="character" w:styleId="ListLabel1733" w:customStyle="1">
    <w:name w:val="ListLabel 1733"/>
    <w:qFormat/>
    <w:rPr>
      <w:color w:val="000000" w:themeColor="text1"/>
      <w:highlight w:val="yellow"/>
    </w:rPr>
  </w:style>
  <w:style w:type="character" w:styleId="ListLabel1734" w:customStyle="1">
    <w:name w:val="ListLabel 1734"/>
    <w:qFormat/>
    <w:rPr>
      <w:rFonts w:cs="Symbol"/>
    </w:rPr>
  </w:style>
  <w:style w:type="character" w:styleId="ListLabel1735" w:customStyle="1">
    <w:name w:val="ListLabel 1735"/>
    <w:qFormat/>
    <w:rPr>
      <w:rFonts w:cs="Courier New"/>
    </w:rPr>
  </w:style>
  <w:style w:type="character" w:styleId="ListLabel1736" w:customStyle="1">
    <w:name w:val="ListLabel 1736"/>
    <w:qFormat/>
    <w:rPr>
      <w:rFonts w:cs="Wingdings"/>
    </w:rPr>
  </w:style>
  <w:style w:type="character" w:styleId="ListLabel1737" w:customStyle="1">
    <w:name w:val="ListLabel 1737"/>
    <w:qFormat/>
    <w:rPr>
      <w:rFonts w:cs="Symbol"/>
    </w:rPr>
  </w:style>
  <w:style w:type="character" w:styleId="ListLabel1738" w:customStyle="1">
    <w:name w:val="ListLabel 1738"/>
    <w:qFormat/>
    <w:rPr>
      <w:rFonts w:cs="Courier New"/>
    </w:rPr>
  </w:style>
  <w:style w:type="character" w:styleId="ListLabel1739" w:customStyle="1">
    <w:name w:val="ListLabel 1739"/>
    <w:qFormat/>
    <w:rPr>
      <w:rFonts w:cs="Wingdings"/>
    </w:rPr>
  </w:style>
  <w:style w:type="character" w:styleId="ListLabel1740" w:customStyle="1">
    <w:name w:val="ListLabel 1740"/>
    <w:qFormat/>
    <w:rPr>
      <w:rFonts w:cs="Symbol"/>
    </w:rPr>
  </w:style>
  <w:style w:type="character" w:styleId="ListLabel1741" w:customStyle="1">
    <w:name w:val="ListLabel 1741"/>
    <w:qFormat/>
    <w:rPr>
      <w:rFonts w:cs="Courier New"/>
    </w:rPr>
  </w:style>
  <w:style w:type="character" w:styleId="ListLabel1742" w:customStyle="1">
    <w:name w:val="ListLabel 1742"/>
    <w:qFormat/>
    <w:rPr>
      <w:rFonts w:cs="Wingdings"/>
    </w:rPr>
  </w:style>
  <w:style w:type="character" w:styleId="ListLabel1743" w:customStyle="1">
    <w:name w:val="ListLabel 1743"/>
    <w:qFormat/>
    <w:rPr>
      <w:rFonts w:cs="Symbol"/>
      <w:sz w:val="20"/>
    </w:rPr>
  </w:style>
  <w:style w:type="character" w:styleId="ListLabel1744" w:customStyle="1">
    <w:name w:val="ListLabel 1744"/>
    <w:qFormat/>
    <w:rPr>
      <w:rFonts w:cs="Symbol"/>
    </w:rPr>
  </w:style>
  <w:style w:type="character" w:styleId="ListLabel1745" w:customStyle="1">
    <w:name w:val="ListLabel 1745"/>
    <w:qFormat/>
    <w:rPr>
      <w:rFonts w:cs="Courier New"/>
    </w:rPr>
  </w:style>
  <w:style w:type="character" w:styleId="ListLabel1746" w:customStyle="1">
    <w:name w:val="ListLabel 1746"/>
    <w:qFormat/>
    <w:rPr>
      <w:rFonts w:cs="Courier New"/>
    </w:rPr>
  </w:style>
  <w:style w:type="character" w:styleId="ListLabel1747" w:customStyle="1">
    <w:name w:val="ListLabel 1747"/>
    <w:qFormat/>
    <w:rPr>
      <w:rFonts w:cs="Wingdings"/>
    </w:rPr>
  </w:style>
  <w:style w:type="character" w:styleId="ListLabel1748" w:customStyle="1">
    <w:name w:val="ListLabel 1748"/>
    <w:qFormat/>
    <w:rPr>
      <w:rFonts w:cs="Symbol"/>
    </w:rPr>
  </w:style>
  <w:style w:type="character" w:styleId="ListLabel1749" w:customStyle="1">
    <w:name w:val="ListLabel 1749"/>
    <w:qFormat/>
    <w:rPr>
      <w:rFonts w:cs="Courier New"/>
    </w:rPr>
  </w:style>
  <w:style w:type="character" w:styleId="ListLabel1750" w:customStyle="1">
    <w:name w:val="ListLabel 1750"/>
    <w:qFormat/>
    <w:rPr>
      <w:rFonts w:cs="Wingdings"/>
    </w:rPr>
  </w:style>
  <w:style w:type="character" w:styleId="ListLabel1751" w:customStyle="1">
    <w:name w:val="ListLabel 1751"/>
    <w:qFormat/>
    <w:rPr>
      <w:rFonts w:cs="Symbol"/>
    </w:rPr>
  </w:style>
  <w:style w:type="character" w:styleId="ListLabel1752" w:customStyle="1">
    <w:name w:val="ListLabel 1752"/>
    <w:qFormat/>
    <w:rPr>
      <w:rFonts w:cs="Courier New"/>
    </w:rPr>
  </w:style>
  <w:style w:type="character" w:styleId="ListLabel1753" w:customStyle="1">
    <w:name w:val="ListLabel 1753"/>
    <w:qFormat/>
    <w:rPr>
      <w:rFonts w:cs="Wingdings"/>
    </w:rPr>
  </w:style>
  <w:style w:type="character" w:styleId="ListLabel1754" w:customStyle="1">
    <w:name w:val="ListLabel 1754"/>
    <w:qFormat/>
    <w:rPr>
      <w:rFonts w:cs="Symbol"/>
      <w:sz w:val="22"/>
    </w:rPr>
  </w:style>
  <w:style w:type="character" w:styleId="ListLabel1755" w:customStyle="1">
    <w:name w:val="ListLabel 1755"/>
    <w:qFormat/>
    <w:rPr>
      <w:rFonts w:cs="Courier New"/>
    </w:rPr>
  </w:style>
  <w:style w:type="character" w:styleId="ListLabel1756" w:customStyle="1">
    <w:name w:val="ListLabel 1756"/>
    <w:qFormat/>
    <w:rPr>
      <w:rFonts w:cs="Wingdings"/>
    </w:rPr>
  </w:style>
  <w:style w:type="character" w:styleId="ListLabel1757" w:customStyle="1">
    <w:name w:val="ListLabel 1757"/>
    <w:qFormat/>
    <w:rPr>
      <w:rFonts w:cs="Symbol"/>
    </w:rPr>
  </w:style>
  <w:style w:type="character" w:styleId="ListLabel1758" w:customStyle="1">
    <w:name w:val="ListLabel 1758"/>
    <w:qFormat/>
    <w:rPr>
      <w:rFonts w:cs="Courier New"/>
    </w:rPr>
  </w:style>
  <w:style w:type="character" w:styleId="ListLabel1759" w:customStyle="1">
    <w:name w:val="ListLabel 1759"/>
    <w:qFormat/>
    <w:rPr>
      <w:rFonts w:cs="Wingdings"/>
    </w:rPr>
  </w:style>
  <w:style w:type="character" w:styleId="ListLabel1760" w:customStyle="1">
    <w:name w:val="ListLabel 1760"/>
    <w:qFormat/>
    <w:rPr>
      <w:rFonts w:cs="Symbol"/>
    </w:rPr>
  </w:style>
  <w:style w:type="character" w:styleId="ListLabel1761" w:customStyle="1">
    <w:name w:val="ListLabel 1761"/>
    <w:qFormat/>
    <w:rPr>
      <w:rFonts w:cs="Courier New"/>
    </w:rPr>
  </w:style>
  <w:style w:type="character" w:styleId="ListLabel1762" w:customStyle="1">
    <w:name w:val="ListLabel 1762"/>
    <w:qFormat/>
    <w:rPr>
      <w:rFonts w:cs="Wingdings"/>
    </w:rPr>
  </w:style>
  <w:style w:type="character" w:styleId="ListLabel1763" w:customStyle="1">
    <w:name w:val="ListLabel 1763"/>
    <w:qFormat/>
    <w:rPr>
      <w:rFonts w:cs="OpenSymbol"/>
      <w:sz w:val="22"/>
    </w:rPr>
  </w:style>
  <w:style w:type="character" w:styleId="ListLabel1764" w:customStyle="1">
    <w:name w:val="ListLabel 1764"/>
    <w:qFormat/>
    <w:rPr>
      <w:rFonts w:cs="OpenSymbol"/>
    </w:rPr>
  </w:style>
  <w:style w:type="character" w:styleId="ListLabel1765" w:customStyle="1">
    <w:name w:val="ListLabel 1765"/>
    <w:qFormat/>
    <w:rPr>
      <w:rFonts w:cs="OpenSymbol"/>
    </w:rPr>
  </w:style>
  <w:style w:type="character" w:styleId="ListLabel1766" w:customStyle="1">
    <w:name w:val="ListLabel 1766"/>
    <w:qFormat/>
    <w:rPr>
      <w:rFonts w:cs="OpenSymbol"/>
    </w:rPr>
  </w:style>
  <w:style w:type="character" w:styleId="ListLabel1767" w:customStyle="1">
    <w:name w:val="ListLabel 1767"/>
    <w:qFormat/>
    <w:rPr>
      <w:rFonts w:cs="OpenSymbol"/>
    </w:rPr>
  </w:style>
  <w:style w:type="character" w:styleId="ListLabel1768" w:customStyle="1">
    <w:name w:val="ListLabel 1768"/>
    <w:qFormat/>
    <w:rPr>
      <w:rFonts w:cs="OpenSymbol"/>
    </w:rPr>
  </w:style>
  <w:style w:type="character" w:styleId="ListLabel1769" w:customStyle="1">
    <w:name w:val="ListLabel 1769"/>
    <w:qFormat/>
    <w:rPr>
      <w:rFonts w:cs="OpenSymbol"/>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sz w:val="22"/>
    </w:rPr>
  </w:style>
  <w:style w:type="character" w:styleId="ListLabel1773" w:customStyle="1">
    <w:name w:val="ListLabel 1773"/>
    <w:qFormat/>
    <w:rPr>
      <w:rFonts w:cs="OpenSymbol"/>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rPr>
  </w:style>
  <w:style w:type="character" w:styleId="ListLabel1777" w:customStyle="1">
    <w:name w:val="ListLabel 1777"/>
    <w:qFormat/>
    <w:rPr>
      <w:rFonts w:cs="OpenSymbol"/>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customStyle="1">
    <w:name w:val="ListLabel 1785"/>
    <w:qFormat/>
    <w:rPr>
      <w:rFonts w:cs="OpenSymbol"/>
    </w:rPr>
  </w:style>
  <w:style w:type="character" w:styleId="ListLabel1786" w:customStyle="1">
    <w:name w:val="ListLabel 1786"/>
    <w:qFormat/>
    <w:rPr>
      <w:rFonts w:cs="OpenSymbol"/>
    </w:rPr>
  </w:style>
  <w:style w:type="character" w:styleId="ListLabel1787" w:customStyle="1">
    <w:name w:val="ListLabel 1787"/>
    <w:qFormat/>
    <w:rPr>
      <w:rFonts w:cs="OpenSymbol"/>
    </w:rPr>
  </w:style>
  <w:style w:type="character" w:styleId="ListLabel1788" w:customStyle="1">
    <w:name w:val="ListLabel 1788"/>
    <w:qFormat/>
    <w:rPr>
      <w:rFonts w:cs="OpenSymbol"/>
    </w:rPr>
  </w:style>
  <w:style w:type="character" w:styleId="ListLabel1789" w:customStyle="1">
    <w:name w:val="ListLabel 1789"/>
    <w:qFormat/>
    <w:rPr>
      <w:rFonts w:cs="Symbol"/>
    </w:rPr>
  </w:style>
  <w:style w:type="character" w:styleId="ListLabel1790" w:customStyle="1">
    <w:name w:val="ListLabel 1790"/>
    <w:qFormat/>
    <w:rPr>
      <w:rFonts w:cs="Courier New"/>
    </w:rPr>
  </w:style>
  <w:style w:type="character" w:styleId="ListLabel1791" w:customStyle="1">
    <w:name w:val="ListLabel 1791"/>
    <w:qFormat/>
    <w:rPr>
      <w:rFonts w:cs="Wingdings"/>
    </w:rPr>
  </w:style>
  <w:style w:type="character" w:styleId="ListLabel1792" w:customStyle="1">
    <w:name w:val="ListLabel 1792"/>
    <w:qFormat/>
    <w:rPr>
      <w:rFonts w:cs="Symbol"/>
    </w:rPr>
  </w:style>
  <w:style w:type="character" w:styleId="ListLabel1793" w:customStyle="1">
    <w:name w:val="ListLabel 1793"/>
    <w:qFormat/>
    <w:rPr>
      <w:rFonts w:cs="Courier New"/>
    </w:rPr>
  </w:style>
  <w:style w:type="character" w:styleId="ListLabel1794" w:customStyle="1">
    <w:name w:val="ListLabel 1794"/>
    <w:qFormat/>
    <w:rPr>
      <w:rFonts w:cs="Wingdings"/>
    </w:rPr>
  </w:style>
  <w:style w:type="character" w:styleId="ListLabel1795" w:customStyle="1">
    <w:name w:val="ListLabel 1795"/>
    <w:qFormat/>
    <w:rPr>
      <w:rFonts w:cs="Symbol"/>
    </w:rPr>
  </w:style>
  <w:style w:type="character" w:styleId="ListLabel1796" w:customStyle="1">
    <w:name w:val="ListLabel 1796"/>
    <w:qFormat/>
    <w:rPr>
      <w:rFonts w:cs="Courier New"/>
    </w:rPr>
  </w:style>
  <w:style w:type="character" w:styleId="ListLabel1797" w:customStyle="1">
    <w:name w:val="ListLabel 1797"/>
    <w:qFormat/>
    <w:rPr>
      <w:rFonts w:cs="Wingdings"/>
    </w:rPr>
  </w:style>
  <w:style w:type="character" w:styleId="ListLabel1798" w:customStyle="1">
    <w:name w:val="ListLabel 1798"/>
    <w:qFormat/>
    <w:rPr>
      <w:rFonts w:cs="Symbol"/>
    </w:rPr>
  </w:style>
  <w:style w:type="character" w:styleId="ListLabel1799" w:customStyle="1">
    <w:name w:val="ListLabel 1799"/>
    <w:qFormat/>
    <w:rPr>
      <w:rFonts w:cs="Symbol"/>
    </w:rPr>
  </w:style>
  <w:style w:type="character" w:styleId="ListLabel1800" w:customStyle="1">
    <w:name w:val="ListLabel 1800"/>
    <w:qFormat/>
    <w:rPr>
      <w:rFonts w:cs="Wingdings"/>
    </w:rPr>
  </w:style>
  <w:style w:type="character" w:styleId="ListLabel1801" w:customStyle="1">
    <w:name w:val="ListLabel 1801"/>
    <w:qFormat/>
    <w:rPr>
      <w:rFonts w:cs="Symbol"/>
    </w:rPr>
  </w:style>
  <w:style w:type="character" w:styleId="ListLabel1802" w:customStyle="1">
    <w:name w:val="ListLabel 1802"/>
    <w:qFormat/>
    <w:rPr>
      <w:rFonts w:cs="Courier New"/>
    </w:rPr>
  </w:style>
  <w:style w:type="character" w:styleId="ListLabel1803" w:customStyle="1">
    <w:name w:val="ListLabel 1803"/>
    <w:qFormat/>
    <w:rPr>
      <w:rFonts w:cs="Wingdings"/>
    </w:rPr>
  </w:style>
  <w:style w:type="character" w:styleId="ListLabel1804" w:customStyle="1">
    <w:name w:val="ListLabel 1804"/>
    <w:qFormat/>
    <w:rPr>
      <w:rFonts w:cs="Symbol"/>
    </w:rPr>
  </w:style>
  <w:style w:type="character" w:styleId="ListLabel1805" w:customStyle="1">
    <w:name w:val="ListLabel 1805"/>
    <w:qFormat/>
    <w:rPr>
      <w:rFonts w:cs="Courier New"/>
    </w:rPr>
  </w:style>
  <w:style w:type="character" w:styleId="ListLabel1806" w:customStyle="1">
    <w:name w:val="ListLabel 1806"/>
    <w:qFormat/>
    <w:rPr>
      <w:rFonts w:cs="Wingdings"/>
    </w:rPr>
  </w:style>
  <w:style w:type="character" w:styleId="ListLabel1807" w:customStyle="1">
    <w:name w:val="ListLabel 1807"/>
    <w:qFormat/>
    <w:rPr>
      <w:rFonts w:cs="Symbol"/>
    </w:rPr>
  </w:style>
  <w:style w:type="character" w:styleId="ListLabel1808" w:customStyle="1">
    <w:name w:val="ListLabel 1808"/>
    <w:qFormat/>
    <w:rPr>
      <w:rFonts w:cs="Symbol"/>
    </w:rPr>
  </w:style>
  <w:style w:type="character" w:styleId="ListLabel1809" w:customStyle="1">
    <w:name w:val="ListLabel 1809"/>
    <w:qFormat/>
    <w:rPr>
      <w:rFonts w:cs="Courier New"/>
    </w:rPr>
  </w:style>
  <w:style w:type="character" w:styleId="ListLabel1810" w:customStyle="1">
    <w:name w:val="ListLabel 1810"/>
    <w:qFormat/>
    <w:rPr>
      <w:rFonts w:cs="Symbol"/>
      <w:sz w:val="20"/>
    </w:rPr>
  </w:style>
  <w:style w:type="character" w:styleId="ListLabel1811" w:customStyle="1">
    <w:name w:val="ListLabel 1811"/>
    <w:qFormat/>
    <w:rPr>
      <w:rFonts w:cs="Courier New"/>
    </w:rPr>
  </w:style>
  <w:style w:type="character" w:styleId="ListLabel1812" w:customStyle="1">
    <w:name w:val="ListLabel 1812"/>
    <w:qFormat/>
    <w:rPr>
      <w:rFonts w:cs="Wingdings"/>
    </w:rPr>
  </w:style>
  <w:style w:type="character" w:styleId="ListLabel1813" w:customStyle="1">
    <w:name w:val="ListLabel 1813"/>
    <w:qFormat/>
    <w:rPr>
      <w:rFonts w:cs="Symbol"/>
    </w:rPr>
  </w:style>
  <w:style w:type="character" w:styleId="ListLabel1814" w:customStyle="1">
    <w:name w:val="ListLabel 1814"/>
    <w:qFormat/>
    <w:rPr>
      <w:rFonts w:cs="Courier New"/>
    </w:rPr>
  </w:style>
  <w:style w:type="character" w:styleId="ListLabel1815" w:customStyle="1">
    <w:name w:val="ListLabel 1815"/>
    <w:qFormat/>
    <w:rPr>
      <w:rFonts w:cs="Wingdings"/>
    </w:rPr>
  </w:style>
  <w:style w:type="character" w:styleId="ListLabel1816" w:customStyle="1">
    <w:name w:val="ListLabel 1816"/>
    <w:qFormat/>
    <w:rPr>
      <w:rFonts w:cs="Symbol"/>
    </w:rPr>
  </w:style>
  <w:style w:type="character" w:styleId="ListLabel1817" w:customStyle="1">
    <w:name w:val="ListLabel 1817"/>
    <w:qFormat/>
    <w:rPr>
      <w:rFonts w:cs="Courier New"/>
    </w:rPr>
  </w:style>
  <w:style w:type="character" w:styleId="ListLabel1818" w:customStyle="1">
    <w:name w:val="ListLabel 1818"/>
    <w:qFormat/>
    <w:rPr>
      <w:rFonts w:cs="Wingdings"/>
    </w:rPr>
  </w:style>
  <w:style w:type="character" w:styleId="ListLabel1819" w:customStyle="1">
    <w:name w:val="ListLabel 1819"/>
    <w:qFormat/>
    <w:rPr>
      <w:rFonts w:cs="Symbol"/>
      <w:sz w:val="22"/>
    </w:rPr>
  </w:style>
  <w:style w:type="character" w:styleId="ListLabel1820" w:customStyle="1">
    <w:name w:val="ListLabel 1820"/>
    <w:qFormat/>
    <w:rPr>
      <w:rFonts w:cs="Courier New"/>
    </w:rPr>
  </w:style>
  <w:style w:type="character" w:styleId="ListLabel1821" w:customStyle="1">
    <w:name w:val="ListLabel 1821"/>
    <w:qFormat/>
    <w:rPr>
      <w:rFonts w:cs="Wingdings"/>
    </w:rPr>
  </w:style>
  <w:style w:type="character" w:styleId="ListLabel1822" w:customStyle="1">
    <w:name w:val="ListLabel 1822"/>
    <w:qFormat/>
    <w:rPr>
      <w:rFonts w:cs="Symbol"/>
    </w:rPr>
  </w:style>
  <w:style w:type="character" w:styleId="ListLabel1823" w:customStyle="1">
    <w:name w:val="ListLabel 1823"/>
    <w:qFormat/>
    <w:rPr>
      <w:rFonts w:cs="Courier New"/>
    </w:rPr>
  </w:style>
  <w:style w:type="character" w:styleId="ListLabel1824" w:customStyle="1">
    <w:name w:val="ListLabel 1824"/>
    <w:qFormat/>
    <w:rPr>
      <w:rFonts w:cs="Wingdings"/>
    </w:rPr>
  </w:style>
  <w:style w:type="character" w:styleId="ListLabel1825" w:customStyle="1">
    <w:name w:val="ListLabel 1825"/>
    <w:qFormat/>
    <w:rPr>
      <w:rFonts w:cs="Symbol"/>
    </w:rPr>
  </w:style>
  <w:style w:type="character" w:styleId="ListLabel1826" w:customStyle="1">
    <w:name w:val="ListLabel 1826"/>
    <w:qFormat/>
    <w:rPr>
      <w:rFonts w:cs="Courier New"/>
    </w:rPr>
  </w:style>
  <w:style w:type="character" w:styleId="ListLabel1827" w:customStyle="1">
    <w:name w:val="ListLabel 1827"/>
    <w:qFormat/>
    <w:rPr>
      <w:rFonts w:cs="Wingdings"/>
    </w:rPr>
  </w:style>
  <w:style w:type="character" w:styleId="ListLabel1828" w:customStyle="1">
    <w:name w:val="ListLabel 1828"/>
    <w:qFormat/>
    <w:rPr>
      <w:rFonts w:cs="OpenSymbol"/>
      <w:sz w:val="22"/>
    </w:rPr>
  </w:style>
  <w:style w:type="character" w:styleId="ListLabel1829" w:customStyle="1">
    <w:name w:val="ListLabel 1829"/>
    <w:qFormat/>
    <w:rPr>
      <w:rFonts w:cs="OpenSymbol"/>
    </w:rPr>
  </w:style>
  <w:style w:type="character" w:styleId="ListLabel1830" w:customStyle="1">
    <w:name w:val="ListLabel 1830"/>
    <w:qFormat/>
    <w:rPr>
      <w:rFonts w:cs="OpenSymbol"/>
    </w:rPr>
  </w:style>
  <w:style w:type="character" w:styleId="ListLabel1831" w:customStyle="1">
    <w:name w:val="ListLabel 1831"/>
    <w:qFormat/>
    <w:rPr>
      <w:rFonts w:cs="OpenSymbol"/>
    </w:rPr>
  </w:style>
  <w:style w:type="character" w:styleId="ListLabel1832" w:customStyle="1">
    <w:name w:val="ListLabel 1832"/>
    <w:qFormat/>
    <w:rPr>
      <w:rFonts w:cs="OpenSymbol"/>
    </w:rPr>
  </w:style>
  <w:style w:type="character" w:styleId="ListLabel1833" w:customStyle="1">
    <w:name w:val="ListLabel 1833"/>
    <w:qFormat/>
    <w:rPr>
      <w:rFonts w:cs="OpenSymbol"/>
    </w:rPr>
  </w:style>
  <w:style w:type="character" w:styleId="ListLabel1834" w:customStyle="1">
    <w:name w:val="ListLabel 1834"/>
    <w:qFormat/>
    <w:rPr>
      <w:rFonts w:cs="OpenSymbol"/>
    </w:rPr>
  </w:style>
  <w:style w:type="character" w:styleId="ListLabel1835" w:customStyle="1">
    <w:name w:val="ListLabel 1835"/>
    <w:qFormat/>
    <w:rPr>
      <w:rFonts w:cs="OpenSymbol"/>
    </w:rPr>
  </w:style>
  <w:style w:type="character" w:styleId="ListLabel1836" w:customStyle="1">
    <w:name w:val="ListLabel 1836"/>
    <w:qFormat/>
    <w:rPr>
      <w:rFonts w:cs="OpenSymbol"/>
    </w:rPr>
  </w:style>
  <w:style w:type="character" w:styleId="ListLabel1837" w:customStyle="1">
    <w:name w:val="ListLabel 1837"/>
    <w:qFormat/>
    <w:rPr>
      <w:b/>
    </w:rPr>
  </w:style>
  <w:style w:type="character" w:styleId="ListLabel1838" w:customStyle="1">
    <w:name w:val="ListLabel 1838"/>
    <w:qFormat/>
    <w:rPr>
      <w:i w:val="false"/>
    </w:rPr>
  </w:style>
  <w:style w:type="character" w:styleId="ListLabel1839" w:customStyle="1">
    <w:name w:val="ListLabel 1839"/>
    <w:qFormat/>
    <w:rPr>
      <w:rFonts w:cs="Symbol"/>
      <w:sz w:val="22"/>
    </w:rPr>
  </w:style>
  <w:style w:type="character" w:styleId="ListLabel1840" w:customStyle="1">
    <w:name w:val="ListLabel 1840"/>
    <w:qFormat/>
    <w:rPr>
      <w:rFonts w:cs="Courier New"/>
    </w:rPr>
  </w:style>
  <w:style w:type="character" w:styleId="ListLabel1841" w:customStyle="1">
    <w:name w:val="ListLabel 1841"/>
    <w:qFormat/>
    <w:rPr>
      <w:rFonts w:cs="Wingdings"/>
    </w:rPr>
  </w:style>
  <w:style w:type="character" w:styleId="ListLabel1842" w:customStyle="1">
    <w:name w:val="ListLabel 1842"/>
    <w:qFormat/>
    <w:rPr>
      <w:rFonts w:cs="Symbol"/>
    </w:rPr>
  </w:style>
  <w:style w:type="character" w:styleId="ListLabel1843" w:customStyle="1">
    <w:name w:val="ListLabel 1843"/>
    <w:qFormat/>
    <w:rPr>
      <w:rFonts w:cs="Courier New"/>
    </w:rPr>
  </w:style>
  <w:style w:type="character" w:styleId="ListLabel1844" w:customStyle="1">
    <w:name w:val="ListLabel 1844"/>
    <w:qFormat/>
    <w:rPr>
      <w:rFonts w:cs="Wingdings"/>
    </w:rPr>
  </w:style>
  <w:style w:type="character" w:styleId="ListLabel1845" w:customStyle="1">
    <w:name w:val="ListLabel 1845"/>
    <w:qFormat/>
    <w:rPr>
      <w:rFonts w:cs="Symbol"/>
    </w:rPr>
  </w:style>
  <w:style w:type="character" w:styleId="ListLabel1846" w:customStyle="1">
    <w:name w:val="ListLabel 1846"/>
    <w:qFormat/>
    <w:rPr>
      <w:rFonts w:cs="Courier New"/>
    </w:rPr>
  </w:style>
  <w:style w:type="character" w:styleId="ListLabel1847" w:customStyle="1">
    <w:name w:val="ListLabel 1847"/>
    <w:qFormat/>
    <w:rPr>
      <w:rFonts w:cs="Wingdings"/>
    </w:rPr>
  </w:style>
  <w:style w:type="character" w:styleId="ListLabel1848" w:customStyle="1">
    <w:name w:val="ListLabel 1848"/>
    <w:qFormat/>
    <w:rPr>
      <w:rFonts w:cs="OpenSymbol"/>
    </w:rPr>
  </w:style>
  <w:style w:type="character" w:styleId="ListLabel1849" w:customStyle="1">
    <w:name w:val="ListLabel 1849"/>
    <w:qFormat/>
    <w:rPr>
      <w:rFonts w:cs="OpenSymbol"/>
    </w:rPr>
  </w:style>
  <w:style w:type="character" w:styleId="ListLabel1850" w:customStyle="1">
    <w:name w:val="ListLabel 1850"/>
    <w:qFormat/>
    <w:rPr>
      <w:rFonts w:cs="OpenSymbol"/>
    </w:rPr>
  </w:style>
  <w:style w:type="character" w:styleId="ListLabel1851" w:customStyle="1">
    <w:name w:val="ListLabel 1851"/>
    <w:qFormat/>
    <w:rPr>
      <w:rFonts w:cs="OpenSymbol"/>
    </w:rPr>
  </w:style>
  <w:style w:type="character" w:styleId="ListLabel1852" w:customStyle="1">
    <w:name w:val="ListLabel 1852"/>
    <w:qFormat/>
    <w:rPr>
      <w:rFonts w:cs="OpenSymbol"/>
    </w:rPr>
  </w:style>
  <w:style w:type="character" w:styleId="ListLabel1853" w:customStyle="1">
    <w:name w:val="ListLabel 1853"/>
    <w:qFormat/>
    <w:rPr>
      <w:rFonts w:cs="OpenSymbol"/>
    </w:rPr>
  </w:style>
  <w:style w:type="character" w:styleId="ListLabel1854" w:customStyle="1">
    <w:name w:val="ListLabel 1854"/>
    <w:qFormat/>
    <w:rPr>
      <w:rFonts w:cs="OpenSymbol"/>
    </w:rPr>
  </w:style>
  <w:style w:type="character" w:styleId="ListLabel1855" w:customStyle="1">
    <w:name w:val="ListLabel 1855"/>
    <w:qFormat/>
    <w:rPr>
      <w:rFonts w:cs="OpenSymbol"/>
    </w:rPr>
  </w:style>
  <w:style w:type="character" w:styleId="ListLabel1856" w:customStyle="1">
    <w:name w:val="ListLabel 1856"/>
    <w:qFormat/>
    <w:rPr>
      <w:rFonts w:cs="OpenSymbol"/>
    </w:rPr>
  </w:style>
  <w:style w:type="character" w:styleId="ListLabel1857" w:customStyle="1">
    <w:name w:val="ListLabel 1857"/>
    <w:qFormat/>
    <w:rPr>
      <w:rFonts w:cs="OpenSymbol"/>
    </w:rPr>
  </w:style>
  <w:style w:type="character" w:styleId="ListLabel1858" w:customStyle="1">
    <w:name w:val="ListLabel 1858"/>
    <w:qFormat/>
    <w:rPr>
      <w:rFonts w:cs="OpenSymbol"/>
    </w:rPr>
  </w:style>
  <w:style w:type="character" w:styleId="ListLabel1859" w:customStyle="1">
    <w:name w:val="ListLabel 1859"/>
    <w:qFormat/>
    <w:rPr>
      <w:rFonts w:cs="OpenSymbol"/>
    </w:rPr>
  </w:style>
  <w:style w:type="character" w:styleId="ListLabel1860" w:customStyle="1">
    <w:name w:val="ListLabel 1860"/>
    <w:qFormat/>
    <w:rPr>
      <w:rFonts w:cs="OpenSymbol"/>
    </w:rPr>
  </w:style>
  <w:style w:type="character" w:styleId="ListLabel1861" w:customStyle="1">
    <w:name w:val="ListLabel 1861"/>
    <w:qFormat/>
    <w:rPr>
      <w:rFonts w:cs="OpenSymbol"/>
    </w:rPr>
  </w:style>
  <w:style w:type="character" w:styleId="ListLabel1862" w:customStyle="1">
    <w:name w:val="ListLabel 1862"/>
    <w:qFormat/>
    <w:rPr>
      <w:rFonts w:cs="OpenSymbol"/>
    </w:rPr>
  </w:style>
  <w:style w:type="character" w:styleId="ListLabel1863" w:customStyle="1">
    <w:name w:val="ListLabel 1863"/>
    <w:qFormat/>
    <w:rPr>
      <w:rFonts w:cs="OpenSymbol"/>
    </w:rPr>
  </w:style>
  <w:style w:type="character" w:styleId="ListLabel1864" w:customStyle="1">
    <w:name w:val="ListLabel 1864"/>
    <w:qFormat/>
    <w:rPr>
      <w:rFonts w:cs="OpenSymbol"/>
    </w:rPr>
  </w:style>
  <w:style w:type="character" w:styleId="ListLabel1865" w:customStyle="1">
    <w:name w:val="ListLabel 1865"/>
    <w:qFormat/>
    <w:rPr>
      <w:rFonts w:cs="OpenSymbol"/>
    </w:rPr>
  </w:style>
  <w:style w:type="character" w:styleId="ListLabel1866" w:customStyle="1">
    <w:name w:val="ListLabel 1866"/>
    <w:qFormat/>
    <w:rPr>
      <w:rFonts w:ascii="Calibri" w:hAnsi="Calibri" w:cs="Symbol"/>
    </w:rPr>
  </w:style>
  <w:style w:type="character" w:styleId="ListLabel1867" w:customStyle="1">
    <w:name w:val="ListLabel 1867"/>
    <w:qFormat/>
    <w:rPr>
      <w:rFonts w:cs="Courier New"/>
    </w:rPr>
  </w:style>
  <w:style w:type="character" w:styleId="ListLabel1868" w:customStyle="1">
    <w:name w:val="ListLabel 1868"/>
    <w:qFormat/>
    <w:rPr>
      <w:rFonts w:cs="Wingdings"/>
    </w:rPr>
  </w:style>
  <w:style w:type="character" w:styleId="ListLabel1869" w:customStyle="1">
    <w:name w:val="ListLabel 1869"/>
    <w:qFormat/>
    <w:rPr>
      <w:rFonts w:cs="Symbol"/>
    </w:rPr>
  </w:style>
  <w:style w:type="character" w:styleId="ListLabel1870" w:customStyle="1">
    <w:name w:val="ListLabel 1870"/>
    <w:qFormat/>
    <w:rPr>
      <w:rFonts w:cs="Courier New"/>
    </w:rPr>
  </w:style>
  <w:style w:type="character" w:styleId="ListLabel1871" w:customStyle="1">
    <w:name w:val="ListLabel 1871"/>
    <w:qFormat/>
    <w:rPr>
      <w:rFonts w:cs="Wingdings"/>
    </w:rPr>
  </w:style>
  <w:style w:type="character" w:styleId="ListLabel1872" w:customStyle="1">
    <w:name w:val="ListLabel 1872"/>
    <w:qFormat/>
    <w:rPr>
      <w:rFonts w:cs="Symbol"/>
    </w:rPr>
  </w:style>
  <w:style w:type="character" w:styleId="ListLabel1873" w:customStyle="1">
    <w:name w:val="ListLabel 1873"/>
    <w:qFormat/>
    <w:rPr>
      <w:rFonts w:cs="Courier New"/>
    </w:rPr>
  </w:style>
  <w:style w:type="character" w:styleId="ListLabel1874" w:customStyle="1">
    <w:name w:val="ListLabel 1874"/>
    <w:qFormat/>
    <w:rPr>
      <w:rFonts w:cs="Wingdings"/>
    </w:rPr>
  </w:style>
  <w:style w:type="character" w:styleId="ListLabel1875" w:customStyle="1">
    <w:name w:val="ListLabel 1875"/>
    <w:qFormat/>
    <w:rPr>
      <w:rFonts w:cs="OpenSymbol"/>
    </w:rPr>
  </w:style>
  <w:style w:type="character" w:styleId="ListLabel1876" w:customStyle="1">
    <w:name w:val="ListLabel 1876"/>
    <w:qFormat/>
    <w:rPr>
      <w:rFonts w:cs="OpenSymbol"/>
    </w:rPr>
  </w:style>
  <w:style w:type="character" w:styleId="ListLabel1877" w:customStyle="1">
    <w:name w:val="ListLabel 1877"/>
    <w:qFormat/>
    <w:rPr>
      <w:rFonts w:cs="OpenSymbol"/>
    </w:rPr>
  </w:style>
  <w:style w:type="character" w:styleId="ListLabel1878" w:customStyle="1">
    <w:name w:val="ListLabel 1878"/>
    <w:qFormat/>
    <w:rPr>
      <w:rFonts w:cs="OpenSymbol"/>
    </w:rPr>
  </w:style>
  <w:style w:type="character" w:styleId="ListLabel1879" w:customStyle="1">
    <w:name w:val="ListLabel 1879"/>
    <w:qFormat/>
    <w:rPr>
      <w:rFonts w:cs="OpenSymbol"/>
    </w:rPr>
  </w:style>
  <w:style w:type="character" w:styleId="ListLabel1880" w:customStyle="1">
    <w:name w:val="ListLabel 1880"/>
    <w:qFormat/>
    <w:rPr>
      <w:rFonts w:cs="OpenSymbol"/>
    </w:rPr>
  </w:style>
  <w:style w:type="character" w:styleId="ListLabel1881" w:customStyle="1">
    <w:name w:val="ListLabel 1881"/>
    <w:qFormat/>
    <w:rPr>
      <w:rFonts w:cs="OpenSymbol"/>
    </w:rPr>
  </w:style>
  <w:style w:type="character" w:styleId="ListLabel1882" w:customStyle="1">
    <w:name w:val="ListLabel 1882"/>
    <w:qFormat/>
    <w:rPr>
      <w:rFonts w:cs="OpenSymbol"/>
    </w:rPr>
  </w:style>
  <w:style w:type="character" w:styleId="ListLabel1883" w:customStyle="1">
    <w:name w:val="ListLabel 1883"/>
    <w:qFormat/>
    <w:rPr>
      <w:rFonts w:cs="OpenSymbol"/>
    </w:rPr>
  </w:style>
  <w:style w:type="character" w:styleId="ListLabel1884" w:customStyle="1">
    <w:name w:val="ListLabel 1884"/>
    <w:qFormat/>
    <w:rPr>
      <w:rFonts w:cs="OpenSymbol"/>
    </w:rPr>
  </w:style>
  <w:style w:type="character" w:styleId="ListLabel1885" w:customStyle="1">
    <w:name w:val="ListLabel 1885"/>
    <w:qFormat/>
    <w:rPr>
      <w:rFonts w:cs="OpenSymbol"/>
    </w:rPr>
  </w:style>
  <w:style w:type="character" w:styleId="ListLabel1886" w:customStyle="1">
    <w:name w:val="ListLabel 1886"/>
    <w:qFormat/>
    <w:rPr>
      <w:rFonts w:cs="OpenSymbol"/>
    </w:rPr>
  </w:style>
  <w:style w:type="character" w:styleId="ListLabel1887" w:customStyle="1">
    <w:name w:val="ListLabel 1887"/>
    <w:qFormat/>
    <w:rPr>
      <w:rFonts w:cs="OpenSymbol"/>
    </w:rPr>
  </w:style>
  <w:style w:type="character" w:styleId="ListLabel1888" w:customStyle="1">
    <w:name w:val="ListLabel 1888"/>
    <w:qFormat/>
    <w:rPr>
      <w:rFonts w:cs="OpenSymbol"/>
    </w:rPr>
  </w:style>
  <w:style w:type="character" w:styleId="ListLabel1889" w:customStyle="1">
    <w:name w:val="ListLabel 1889"/>
    <w:qFormat/>
    <w:rPr>
      <w:rFonts w:cs="OpenSymbol"/>
    </w:rPr>
  </w:style>
  <w:style w:type="character" w:styleId="ListLabel1890" w:customStyle="1">
    <w:name w:val="ListLabel 1890"/>
    <w:qFormat/>
    <w:rPr>
      <w:rFonts w:cs="OpenSymbol"/>
    </w:rPr>
  </w:style>
  <w:style w:type="character" w:styleId="ListLabel1891" w:customStyle="1">
    <w:name w:val="ListLabel 1891"/>
    <w:qFormat/>
    <w:rPr>
      <w:rFonts w:cs="OpenSymbol"/>
    </w:rPr>
  </w:style>
  <w:style w:type="character" w:styleId="ListLabel1892" w:customStyle="1">
    <w:name w:val="ListLabel 1892"/>
    <w:qFormat/>
    <w:rPr>
      <w:rFonts w:cs="OpenSymbol"/>
    </w:rPr>
  </w:style>
  <w:style w:type="character" w:styleId="ListLabel1893" w:customStyle="1">
    <w:name w:val="ListLabel 1893"/>
    <w:qFormat/>
    <w:rPr>
      <w:rFonts w:cs="OpenSymbol"/>
    </w:rPr>
  </w:style>
  <w:style w:type="character" w:styleId="ListLabel1894" w:customStyle="1">
    <w:name w:val="ListLabel 1894"/>
    <w:qFormat/>
    <w:rPr>
      <w:rFonts w:cs="OpenSymbol"/>
    </w:rPr>
  </w:style>
  <w:style w:type="character" w:styleId="ListLabel1895" w:customStyle="1">
    <w:name w:val="ListLabel 1895"/>
    <w:qFormat/>
    <w:rPr>
      <w:rFonts w:cs="OpenSymbol"/>
    </w:rPr>
  </w:style>
  <w:style w:type="character" w:styleId="ListLabel1896" w:customStyle="1">
    <w:name w:val="ListLabel 1896"/>
    <w:qFormat/>
    <w:rPr>
      <w:rFonts w:cs="OpenSymbol"/>
    </w:rPr>
  </w:style>
  <w:style w:type="character" w:styleId="ListLabel1897" w:customStyle="1">
    <w:name w:val="ListLabel 1897"/>
    <w:qFormat/>
    <w:rPr>
      <w:rFonts w:cs="OpenSymbol"/>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cs="OpenSymbol"/>
    </w:rPr>
  </w:style>
  <w:style w:type="character" w:styleId="ListLabel1904" w:customStyle="1">
    <w:name w:val="ListLabel 1904"/>
    <w:qFormat/>
    <w:rPr>
      <w:rFonts w:cs="OpenSymbol"/>
    </w:rPr>
  </w:style>
  <w:style w:type="character" w:styleId="ListLabel1905" w:customStyle="1">
    <w:name w:val="ListLabel 1905"/>
    <w:qFormat/>
    <w:rPr>
      <w:rFonts w:cs="OpenSymbol"/>
    </w:rPr>
  </w:style>
  <w:style w:type="character" w:styleId="ListLabel1906" w:customStyle="1">
    <w:name w:val="ListLabel 1906"/>
    <w:qFormat/>
    <w:rPr>
      <w:rFonts w:cs="OpenSymbol"/>
    </w:rPr>
  </w:style>
  <w:style w:type="character" w:styleId="ListLabel1907" w:customStyle="1">
    <w:name w:val="ListLabel 1907"/>
    <w:qFormat/>
    <w:rPr>
      <w:rFonts w:cs="OpenSymbol"/>
    </w:rPr>
  </w:style>
  <w:style w:type="character" w:styleId="ListLabel1908" w:customStyle="1">
    <w:name w:val="ListLabel 1908"/>
    <w:qFormat/>
    <w:rPr>
      <w:rFonts w:cs="OpenSymbol"/>
    </w:rPr>
  </w:style>
  <w:style w:type="character" w:styleId="ListLabel1909" w:customStyle="1">
    <w:name w:val="ListLabel 1909"/>
    <w:qFormat/>
    <w:rPr>
      <w:rFonts w:cs="OpenSymbol"/>
    </w:rPr>
  </w:style>
  <w:style w:type="character" w:styleId="ListLabel1910" w:customStyle="1">
    <w:name w:val="ListLabel 1910"/>
    <w:qFormat/>
    <w:rPr>
      <w:rFonts w:cs="OpenSymbol"/>
    </w:rPr>
  </w:style>
  <w:style w:type="character" w:styleId="ListLabel1911" w:customStyle="1">
    <w:name w:val="ListLabel 1911"/>
    <w:qFormat/>
    <w:rPr>
      <w:rFonts w:cs="OpenSymbol"/>
    </w:rPr>
  </w:style>
  <w:style w:type="character" w:styleId="ListLabel1912" w:customStyle="1">
    <w:name w:val="ListLabel 1912"/>
    <w:qFormat/>
    <w:rPr>
      <w:rFonts w:cs="OpenSymbol"/>
    </w:rPr>
  </w:style>
  <w:style w:type="character" w:styleId="ListLabel1913" w:customStyle="1">
    <w:name w:val="ListLabel 1913"/>
    <w:qFormat/>
    <w:rPr>
      <w:rFonts w:cs="OpenSymbol"/>
    </w:rPr>
  </w:style>
  <w:style w:type="character" w:styleId="ListLabel1914" w:customStyle="1">
    <w:name w:val="ListLabel 1914"/>
    <w:qFormat/>
    <w:rPr>
      <w:rFonts w:cs="OpenSymbol"/>
    </w:rPr>
  </w:style>
  <w:style w:type="character" w:styleId="ListLabel1915" w:customStyle="1">
    <w:name w:val="ListLabel 1915"/>
    <w:qFormat/>
    <w:rPr>
      <w:rFonts w:cs="OpenSymbol"/>
    </w:rPr>
  </w:style>
  <w:style w:type="character" w:styleId="ListLabel1916" w:customStyle="1">
    <w:name w:val="ListLabel 1916"/>
    <w:qFormat/>
    <w:rPr>
      <w:rFonts w:cs="OpenSymbol"/>
    </w:rPr>
  </w:style>
  <w:style w:type="character" w:styleId="ListLabel1917" w:customStyle="1">
    <w:name w:val="ListLabel 1917"/>
    <w:qFormat/>
    <w:rPr>
      <w:rFonts w:cs="OpenSymbol"/>
    </w:rPr>
  </w:style>
  <w:style w:type="character" w:styleId="ListLabel1918" w:customStyle="1">
    <w:name w:val="ListLabel 1918"/>
    <w:qFormat/>
    <w:rPr>
      <w:rFonts w:cs="OpenSymbol"/>
    </w:rPr>
  </w:style>
  <w:style w:type="character" w:styleId="ListLabel1919" w:customStyle="1">
    <w:name w:val="ListLabel 1919"/>
    <w:qFormat/>
    <w:rPr>
      <w:rFonts w:cs="OpenSymbol"/>
    </w:rPr>
  </w:style>
  <w:style w:type="character" w:styleId="ListLabel1920" w:customStyle="1">
    <w:name w:val="ListLabel 1920"/>
    <w:qFormat/>
    <w:rPr>
      <w:rFonts w:cs="OpenSymbol"/>
    </w:rPr>
  </w:style>
  <w:style w:type="character" w:styleId="ListLabel1921" w:customStyle="1">
    <w:name w:val="ListLabel 1921"/>
    <w:qFormat/>
    <w:rPr>
      <w:rFonts w:cs="OpenSymbol"/>
    </w:rPr>
  </w:style>
  <w:style w:type="character" w:styleId="ListLabel1922" w:customStyle="1">
    <w:name w:val="ListLabel 1922"/>
    <w:qFormat/>
    <w:rPr>
      <w:rFonts w:cs="OpenSymbol"/>
    </w:rPr>
  </w:style>
  <w:style w:type="character" w:styleId="ListLabel1923" w:customStyle="1">
    <w:name w:val="ListLabel 1923"/>
    <w:qFormat/>
    <w:rPr>
      <w:rFonts w:cs="OpenSymbol"/>
    </w:rPr>
  </w:style>
  <w:style w:type="character" w:styleId="ListLabel1924" w:customStyle="1">
    <w:name w:val="ListLabel 1924"/>
    <w:qFormat/>
    <w:rPr>
      <w:rFonts w:cs="OpenSymbol"/>
    </w:rPr>
  </w:style>
  <w:style w:type="character" w:styleId="ListLabel1925" w:customStyle="1">
    <w:name w:val="ListLabel 1925"/>
    <w:qFormat/>
    <w:rPr>
      <w:rFonts w:cs="OpenSymbol"/>
    </w:rPr>
  </w:style>
  <w:style w:type="character" w:styleId="ListLabel1926" w:customStyle="1">
    <w:name w:val="ListLabel 1926"/>
    <w:qFormat/>
    <w:rPr>
      <w:rFonts w:cs="OpenSymbol"/>
    </w:rPr>
  </w:style>
  <w:style w:type="character" w:styleId="ListLabel1927" w:customStyle="1">
    <w:name w:val="ListLabel 1927"/>
    <w:qFormat/>
    <w:rPr>
      <w:rFonts w:cs="OpenSymbol"/>
    </w:rPr>
  </w:style>
  <w:style w:type="character" w:styleId="ListLabel1928" w:customStyle="1">
    <w:name w:val="ListLabel 1928"/>
    <w:qFormat/>
    <w:rPr>
      <w:rFonts w:cs="OpenSymbol"/>
    </w:rPr>
  </w:style>
  <w:style w:type="character" w:styleId="ListLabel1929" w:customStyle="1">
    <w:name w:val="ListLabel 1929"/>
    <w:qFormat/>
    <w:rPr>
      <w:rFonts w:cs="OpenSymbol"/>
    </w:rPr>
  </w:style>
  <w:style w:type="character" w:styleId="ListLabel1930" w:customStyle="1">
    <w:name w:val="ListLabel 1930"/>
    <w:qFormat/>
    <w:rPr>
      <w:rFonts w:cs="OpenSymbol"/>
    </w:rPr>
  </w:style>
  <w:style w:type="character" w:styleId="ListLabel1931" w:customStyle="1">
    <w:name w:val="ListLabel 1931"/>
    <w:qFormat/>
    <w:rPr>
      <w:rFonts w:cs="OpenSymbol"/>
    </w:rPr>
  </w:style>
  <w:style w:type="character" w:styleId="ListLabel1932" w:customStyle="1">
    <w:name w:val="ListLabel 1932"/>
    <w:qFormat/>
    <w:rPr>
      <w:rFonts w:cs="OpenSymbol"/>
    </w:rPr>
  </w:style>
  <w:style w:type="character" w:styleId="ListLabel1933" w:customStyle="1">
    <w:name w:val="ListLabel 1933"/>
    <w:qFormat/>
    <w:rPr>
      <w:rFonts w:cs="OpenSymbol"/>
    </w:rPr>
  </w:style>
  <w:style w:type="character" w:styleId="ListLabel1934" w:customStyle="1">
    <w:name w:val="ListLabel 1934"/>
    <w:qFormat/>
    <w:rPr>
      <w:rFonts w:cs="OpenSymbol"/>
    </w:rPr>
  </w:style>
  <w:style w:type="character" w:styleId="ListLabel1935" w:customStyle="1">
    <w:name w:val="ListLabel 1935"/>
    <w:qFormat/>
    <w:rPr>
      <w:rFonts w:cs="OpenSymbol"/>
    </w:rPr>
  </w:style>
  <w:style w:type="character" w:styleId="ListLabel1936" w:customStyle="1">
    <w:name w:val="ListLabel 1936"/>
    <w:qFormat/>
    <w:rPr>
      <w:rFonts w:cs="OpenSymbol"/>
    </w:rPr>
  </w:style>
  <w:style w:type="character" w:styleId="ListLabel1937" w:customStyle="1">
    <w:name w:val="ListLabel 1937"/>
    <w:qFormat/>
    <w:rPr>
      <w:rFonts w:cs="OpenSymbol"/>
    </w:rPr>
  </w:style>
  <w:style w:type="character" w:styleId="ListLabel1938" w:customStyle="1">
    <w:name w:val="ListLabel 1938"/>
    <w:qFormat/>
    <w:rPr>
      <w:rFonts w:cs="OpenSymbol"/>
    </w:rPr>
  </w:style>
  <w:style w:type="character" w:styleId="ListLabel1939" w:customStyle="1">
    <w:name w:val="ListLabel 1939"/>
    <w:qFormat/>
    <w:rPr>
      <w:rFonts w:cs="OpenSymbol"/>
    </w:rPr>
  </w:style>
  <w:style w:type="character" w:styleId="ListLabel1940" w:customStyle="1">
    <w:name w:val="ListLabel 1940"/>
    <w:qFormat/>
    <w:rPr>
      <w:rFonts w:cs="OpenSymbol"/>
    </w:rPr>
  </w:style>
  <w:style w:type="character" w:styleId="ListLabel1941" w:customStyle="1">
    <w:name w:val="ListLabel 1941"/>
    <w:qFormat/>
    <w:rPr>
      <w:rFonts w:cs="OpenSymbol"/>
    </w:rPr>
  </w:style>
  <w:style w:type="character" w:styleId="ListLabel1942" w:customStyle="1">
    <w:name w:val="ListLabel 1942"/>
    <w:qFormat/>
    <w:rPr>
      <w:rFonts w:cs="OpenSymbol"/>
    </w:rPr>
  </w:style>
  <w:style w:type="character" w:styleId="ListLabel1943" w:customStyle="1">
    <w:name w:val="ListLabel 1943"/>
    <w:qFormat/>
    <w:rPr>
      <w:rFonts w:cs="OpenSymbol"/>
    </w:rPr>
  </w:style>
  <w:style w:type="character" w:styleId="ListLabel1944" w:customStyle="1">
    <w:name w:val="ListLabel 1944"/>
    <w:qFormat/>
    <w:rPr>
      <w:rFonts w:cs="OpenSymbol"/>
    </w:rPr>
  </w:style>
  <w:style w:type="character" w:styleId="ListLabel1945" w:customStyle="1">
    <w:name w:val="ListLabel 1945"/>
    <w:qFormat/>
    <w:rPr>
      <w:rFonts w:cs="OpenSymbol"/>
    </w:rPr>
  </w:style>
  <w:style w:type="character" w:styleId="ListLabel1946" w:customStyle="1">
    <w:name w:val="ListLabel 1946"/>
    <w:qFormat/>
    <w:rPr>
      <w:rFonts w:cs="OpenSymbol"/>
    </w:rPr>
  </w:style>
  <w:style w:type="character" w:styleId="ListLabel1947" w:customStyle="1">
    <w:name w:val="ListLabel 1947"/>
    <w:qFormat/>
    <w:rPr>
      <w:rFonts w:eastAsia="Times New Roman" w:cs="Trebuchet MS"/>
      <w:color w:val="000000"/>
      <w:sz w:val="24"/>
      <w:szCs w:val="24"/>
    </w:rPr>
  </w:style>
  <w:style w:type="character" w:styleId="ListLabel1948" w:customStyle="1">
    <w:name w:val="ListLabel 1948"/>
    <w:qFormat/>
    <w:rPr/>
  </w:style>
  <w:style w:type="character" w:styleId="ListLabel1949" w:customStyle="1">
    <w:name w:val="ListLabel 1949"/>
    <w:qFormat/>
    <w:rPr>
      <w:sz w:val="20"/>
    </w:rPr>
  </w:style>
  <w:style w:type="character" w:styleId="ListLabel1950" w:customStyle="1">
    <w:name w:val="ListLabel 1950"/>
    <w:qFormat/>
    <w:rPr>
      <w:sz w:val="16"/>
      <w:szCs w:val="16"/>
    </w:rPr>
  </w:style>
  <w:style w:type="character" w:styleId="ListLabel1951" w:customStyle="1">
    <w:name w:val="ListLabel 1951"/>
    <w:qFormat/>
    <w:rPr>
      <w:rFonts w:cs="Calibri"/>
      <w:color w:val="000000"/>
    </w:rPr>
  </w:style>
  <w:style w:type="character" w:styleId="ListLabel1952" w:customStyle="1">
    <w:name w:val="ListLabel 1952"/>
    <w:qFormat/>
    <w:rPr>
      <w:rFonts w:ascii="Arial" w:hAnsi="Arial" w:eastAsia="Times New Roman" w:cs="Arial"/>
      <w:sz w:val="18"/>
    </w:rPr>
  </w:style>
  <w:style w:type="character" w:styleId="ListLabel1953" w:customStyle="1">
    <w:name w:val="ListLabel 1953"/>
    <w:qFormat/>
    <w:rPr>
      <w:rFonts w:ascii="Arial" w:hAnsi="Arial" w:eastAsia="Times New Roman" w:cs="Arial"/>
      <w:b/>
      <w:bCs/>
      <w:sz w:val="18"/>
    </w:rPr>
  </w:style>
  <w:style w:type="character" w:styleId="ListLabel1954" w:customStyle="1">
    <w:name w:val="ListLabel 1954"/>
    <w:qFormat/>
    <w:rPr>
      <w:rFonts w:cs="Calibri"/>
    </w:rPr>
  </w:style>
  <w:style w:type="character" w:styleId="ListLabel1955" w:customStyle="1">
    <w:name w:val="ListLabel 1955"/>
    <w:qFormat/>
    <w:rPr>
      <w:rFonts w:cs="Calibri"/>
    </w:rPr>
  </w:style>
  <w:style w:type="character" w:styleId="ListLabel1956" w:customStyle="1">
    <w:name w:val="ListLabel 1956"/>
    <w:qFormat/>
    <w:rPr>
      <w:sz w:val="24"/>
      <w:szCs w:val="24"/>
    </w:rPr>
  </w:style>
  <w:style w:type="character" w:styleId="ListLabel1957" w:customStyle="1">
    <w:name w:val="ListLabel 1957"/>
    <w:qFormat/>
    <w:rPr>
      <w:b/>
      <w:bCs/>
      <w:i/>
      <w:sz w:val="28"/>
      <w:szCs w:val="28"/>
    </w:rPr>
  </w:style>
  <w:style w:type="character" w:styleId="ListLabel1958" w:customStyle="1">
    <w:name w:val="ListLabel 1958"/>
    <w:qFormat/>
    <w:rPr>
      <w:b w:val="false"/>
      <w:bCs w:val="false"/>
      <w:color w:val="000000" w:themeColor="text1"/>
    </w:rPr>
  </w:style>
  <w:style w:type="character" w:styleId="ListLabel1959" w:customStyle="1">
    <w:name w:val="ListLabel 1959"/>
    <w:qFormat/>
    <w:rPr>
      <w:rFonts w:cs="Symbol"/>
    </w:rPr>
  </w:style>
  <w:style w:type="character" w:styleId="ListLabel1960" w:customStyle="1">
    <w:name w:val="ListLabel 1960"/>
    <w:qFormat/>
    <w:rPr>
      <w:rFonts w:cs="Courier New"/>
    </w:rPr>
  </w:style>
  <w:style w:type="character" w:styleId="ListLabel1961" w:customStyle="1">
    <w:name w:val="ListLabel 1961"/>
    <w:qFormat/>
    <w:rPr>
      <w:rFonts w:cs="Wingdings"/>
    </w:rPr>
  </w:style>
  <w:style w:type="character" w:styleId="ListLabel1962" w:customStyle="1">
    <w:name w:val="ListLabel 1962"/>
    <w:qFormat/>
    <w:rPr>
      <w:rFonts w:cs="Symbol"/>
    </w:rPr>
  </w:style>
  <w:style w:type="character" w:styleId="ListLabel1963" w:customStyle="1">
    <w:name w:val="ListLabel 1963"/>
    <w:qFormat/>
    <w:rPr>
      <w:rFonts w:cs="Courier New"/>
    </w:rPr>
  </w:style>
  <w:style w:type="character" w:styleId="ListLabel1964" w:customStyle="1">
    <w:name w:val="ListLabel 1964"/>
    <w:qFormat/>
    <w:rPr>
      <w:rFonts w:cs="Wingdings"/>
    </w:rPr>
  </w:style>
  <w:style w:type="character" w:styleId="ListLabel1965" w:customStyle="1">
    <w:name w:val="ListLabel 1965"/>
    <w:qFormat/>
    <w:rPr>
      <w:rFonts w:cs="Symbol"/>
    </w:rPr>
  </w:style>
  <w:style w:type="character" w:styleId="ListLabel1966" w:customStyle="1">
    <w:name w:val="ListLabel 1966"/>
    <w:qFormat/>
    <w:rPr>
      <w:rFonts w:cs="Courier New"/>
    </w:rPr>
  </w:style>
  <w:style w:type="character" w:styleId="ListLabel1967" w:customStyle="1">
    <w:name w:val="ListLabel 1967"/>
    <w:qFormat/>
    <w:rPr>
      <w:rFonts w:cs="Wingdings"/>
    </w:rPr>
  </w:style>
  <w:style w:type="character" w:styleId="ListLabel1968" w:customStyle="1">
    <w:name w:val="ListLabel 1968"/>
    <w:qFormat/>
    <w:rPr>
      <w:rFonts w:cs="Symbol"/>
      <w:sz w:val="20"/>
    </w:rPr>
  </w:style>
  <w:style w:type="character" w:styleId="ListLabel1969" w:customStyle="1">
    <w:name w:val="ListLabel 1969"/>
    <w:qFormat/>
    <w:rPr>
      <w:rFonts w:cs="Symbol"/>
    </w:rPr>
  </w:style>
  <w:style w:type="character" w:styleId="ListLabel1970" w:customStyle="1">
    <w:name w:val="ListLabel 1970"/>
    <w:qFormat/>
    <w:rPr>
      <w:rFonts w:cs="Courier New"/>
    </w:rPr>
  </w:style>
  <w:style w:type="character" w:styleId="ListLabel1971" w:customStyle="1">
    <w:name w:val="ListLabel 1971"/>
    <w:qFormat/>
    <w:rPr>
      <w:rFonts w:cs="Symbol"/>
      <w:sz w:val="22"/>
    </w:rPr>
  </w:style>
  <w:style w:type="character" w:styleId="ListLabel1972" w:customStyle="1">
    <w:name w:val="ListLabel 1972"/>
    <w:qFormat/>
    <w:rPr>
      <w:rFonts w:cs="Courier New"/>
    </w:rPr>
  </w:style>
  <w:style w:type="character" w:styleId="ListLabel1973" w:customStyle="1">
    <w:name w:val="ListLabel 1973"/>
    <w:qFormat/>
    <w:rPr>
      <w:rFonts w:cs="Wingdings"/>
    </w:rPr>
  </w:style>
  <w:style w:type="character" w:styleId="ListLabel1974" w:customStyle="1">
    <w:name w:val="ListLabel 1974"/>
    <w:qFormat/>
    <w:rPr>
      <w:rFonts w:cs="Symbol"/>
    </w:rPr>
  </w:style>
  <w:style w:type="character" w:styleId="ListLabel1975" w:customStyle="1">
    <w:name w:val="ListLabel 1975"/>
    <w:qFormat/>
    <w:rPr>
      <w:rFonts w:cs="Courier New"/>
    </w:rPr>
  </w:style>
  <w:style w:type="character" w:styleId="ListLabel1976" w:customStyle="1">
    <w:name w:val="ListLabel 1976"/>
    <w:qFormat/>
    <w:rPr>
      <w:rFonts w:cs="Wingdings"/>
    </w:rPr>
  </w:style>
  <w:style w:type="character" w:styleId="ListLabel1977" w:customStyle="1">
    <w:name w:val="ListLabel 1977"/>
    <w:qFormat/>
    <w:rPr>
      <w:rFonts w:cs="Symbol"/>
    </w:rPr>
  </w:style>
  <w:style w:type="character" w:styleId="ListLabel1978" w:customStyle="1">
    <w:name w:val="ListLabel 1978"/>
    <w:qFormat/>
    <w:rPr>
      <w:rFonts w:cs="Courier New"/>
    </w:rPr>
  </w:style>
  <w:style w:type="character" w:styleId="ListLabel1979" w:customStyle="1">
    <w:name w:val="ListLabel 1979"/>
    <w:qFormat/>
    <w:rPr>
      <w:rFonts w:cs="Wingdings"/>
    </w:rPr>
  </w:style>
  <w:style w:type="character" w:styleId="ListLabel1980" w:customStyle="1">
    <w:name w:val="ListLabel 1980"/>
    <w:qFormat/>
    <w:rPr>
      <w:rFonts w:cs="OpenSymbol"/>
      <w:sz w:val="22"/>
    </w:rPr>
  </w:style>
  <w:style w:type="character" w:styleId="ListLabel1981" w:customStyle="1">
    <w:name w:val="ListLabel 1981"/>
    <w:qFormat/>
    <w:rPr>
      <w:rFonts w:cs="OpenSymbol"/>
    </w:rPr>
  </w:style>
  <w:style w:type="character" w:styleId="ListLabel1982" w:customStyle="1">
    <w:name w:val="ListLabel 1982"/>
    <w:qFormat/>
    <w:rPr>
      <w:rFonts w:cs="OpenSymbol"/>
    </w:rPr>
  </w:style>
  <w:style w:type="character" w:styleId="ListLabel1983" w:customStyle="1">
    <w:name w:val="ListLabel 1983"/>
    <w:qFormat/>
    <w:rPr>
      <w:rFonts w:cs="OpenSymbol"/>
    </w:rPr>
  </w:style>
  <w:style w:type="character" w:styleId="ListLabel1984" w:customStyle="1">
    <w:name w:val="ListLabel 1984"/>
    <w:qFormat/>
    <w:rPr>
      <w:rFonts w:cs="OpenSymbol"/>
    </w:rPr>
  </w:style>
  <w:style w:type="character" w:styleId="ListLabel1985" w:customStyle="1">
    <w:name w:val="ListLabel 1985"/>
    <w:qFormat/>
    <w:rPr>
      <w:rFonts w:cs="OpenSymbol"/>
    </w:rPr>
  </w:style>
  <w:style w:type="character" w:styleId="ListLabel1986" w:customStyle="1">
    <w:name w:val="ListLabel 1986"/>
    <w:qFormat/>
    <w:rPr>
      <w:rFonts w:cs="OpenSymbol"/>
    </w:rPr>
  </w:style>
  <w:style w:type="character" w:styleId="ListLabel1987" w:customStyle="1">
    <w:name w:val="ListLabel 1987"/>
    <w:qFormat/>
    <w:rPr>
      <w:rFonts w:cs="OpenSymbol"/>
    </w:rPr>
  </w:style>
  <w:style w:type="character" w:styleId="ListLabel1988" w:customStyle="1">
    <w:name w:val="ListLabel 1988"/>
    <w:qFormat/>
    <w:rPr>
      <w:rFonts w:cs="OpenSymbol"/>
    </w:rPr>
  </w:style>
  <w:style w:type="character" w:styleId="ListLabel1989" w:customStyle="1">
    <w:name w:val="ListLabel 1989"/>
    <w:qFormat/>
    <w:rPr>
      <w:rFonts w:cs="OpenSymbol"/>
      <w:sz w:val="22"/>
    </w:rPr>
  </w:style>
  <w:style w:type="character" w:styleId="ListLabel1990" w:customStyle="1">
    <w:name w:val="ListLabel 1990"/>
    <w:qFormat/>
    <w:rPr>
      <w:rFonts w:cs="OpenSymbol"/>
    </w:rPr>
  </w:style>
  <w:style w:type="character" w:styleId="ListLabel1991" w:customStyle="1">
    <w:name w:val="ListLabel 1991"/>
    <w:qFormat/>
    <w:rPr>
      <w:rFonts w:cs="OpenSymbol"/>
    </w:rPr>
  </w:style>
  <w:style w:type="character" w:styleId="ListLabel1992" w:customStyle="1">
    <w:name w:val="ListLabel 1992"/>
    <w:qFormat/>
    <w:rPr>
      <w:rFonts w:cs="OpenSymbol"/>
    </w:rPr>
  </w:style>
  <w:style w:type="character" w:styleId="ListLabel1993" w:customStyle="1">
    <w:name w:val="ListLabel 1993"/>
    <w:qFormat/>
    <w:rPr>
      <w:rFonts w:cs="OpenSymbol"/>
    </w:rPr>
  </w:style>
  <w:style w:type="character" w:styleId="ListLabel1994" w:customStyle="1">
    <w:name w:val="ListLabel 1994"/>
    <w:qFormat/>
    <w:rPr>
      <w:rFonts w:cs="OpenSymbol"/>
    </w:rPr>
  </w:style>
  <w:style w:type="character" w:styleId="ListLabel1995" w:customStyle="1">
    <w:name w:val="ListLabel 1995"/>
    <w:qFormat/>
    <w:rPr>
      <w:rFonts w:cs="OpenSymbol"/>
    </w:rPr>
  </w:style>
  <w:style w:type="character" w:styleId="ListLabel1996" w:customStyle="1">
    <w:name w:val="ListLabel 1996"/>
    <w:qFormat/>
    <w:rPr>
      <w:rFonts w:cs="OpenSymbol"/>
    </w:rPr>
  </w:style>
  <w:style w:type="character" w:styleId="ListLabel1997" w:customStyle="1">
    <w:name w:val="ListLabel 1997"/>
    <w:qFormat/>
    <w:rPr>
      <w:rFonts w:cs="OpenSymbol"/>
    </w:rPr>
  </w:style>
  <w:style w:type="character" w:styleId="ListLabel1998" w:customStyle="1">
    <w:name w:val="ListLabel 1998"/>
    <w:qFormat/>
    <w:rPr>
      <w:rFonts w:cs="OpenSymbol"/>
    </w:rPr>
  </w:style>
  <w:style w:type="character" w:styleId="ListLabel1999" w:customStyle="1">
    <w:name w:val="ListLabel 1999"/>
    <w:qFormat/>
    <w:rPr>
      <w:rFonts w:cs="OpenSymbol"/>
    </w:rPr>
  </w:style>
  <w:style w:type="character" w:styleId="ListLabel2000" w:customStyle="1">
    <w:name w:val="ListLabel 2000"/>
    <w:qFormat/>
    <w:rPr>
      <w:rFonts w:cs="OpenSymbol"/>
    </w:rPr>
  </w:style>
  <w:style w:type="character" w:styleId="ListLabel2001" w:customStyle="1">
    <w:name w:val="ListLabel 2001"/>
    <w:qFormat/>
    <w:rPr>
      <w:rFonts w:cs="OpenSymbol"/>
    </w:rPr>
  </w:style>
  <w:style w:type="character" w:styleId="ListLabel2002" w:customStyle="1">
    <w:name w:val="ListLabel 2002"/>
    <w:qFormat/>
    <w:rPr>
      <w:rFonts w:cs="OpenSymbol"/>
    </w:rPr>
  </w:style>
  <w:style w:type="character" w:styleId="ListLabel2003" w:customStyle="1">
    <w:name w:val="ListLabel 2003"/>
    <w:qFormat/>
    <w:rPr>
      <w:rFonts w:cs="OpenSymbol"/>
    </w:rPr>
  </w:style>
  <w:style w:type="character" w:styleId="ListLabel2004" w:customStyle="1">
    <w:name w:val="ListLabel 2004"/>
    <w:qFormat/>
    <w:rPr>
      <w:rFonts w:cs="OpenSymbol"/>
    </w:rPr>
  </w:style>
  <w:style w:type="character" w:styleId="ListLabel2005" w:customStyle="1">
    <w:name w:val="ListLabel 2005"/>
    <w:qFormat/>
    <w:rPr>
      <w:rFonts w:cs="OpenSymbol"/>
    </w:rPr>
  </w:style>
  <w:style w:type="character" w:styleId="ListLabel2006" w:customStyle="1">
    <w:name w:val="ListLabel 2006"/>
    <w:qFormat/>
    <w:rPr>
      <w:rFonts w:cs="Symbol"/>
    </w:rPr>
  </w:style>
  <w:style w:type="character" w:styleId="ListLabel2007" w:customStyle="1">
    <w:name w:val="ListLabel 2007"/>
    <w:qFormat/>
    <w:rPr>
      <w:rFonts w:cs="Courier New"/>
    </w:rPr>
  </w:style>
  <w:style w:type="character" w:styleId="ListLabel2008" w:customStyle="1">
    <w:name w:val="ListLabel 2008"/>
    <w:qFormat/>
    <w:rPr>
      <w:rFonts w:cs="Wingdings"/>
    </w:rPr>
  </w:style>
  <w:style w:type="character" w:styleId="ListLabel2009" w:customStyle="1">
    <w:name w:val="ListLabel 2009"/>
    <w:qFormat/>
    <w:rPr>
      <w:rFonts w:cs="Symbol"/>
    </w:rPr>
  </w:style>
  <w:style w:type="character" w:styleId="ListLabel2010" w:customStyle="1">
    <w:name w:val="ListLabel 2010"/>
    <w:qFormat/>
    <w:rPr>
      <w:rFonts w:cs="Courier New"/>
    </w:rPr>
  </w:style>
  <w:style w:type="character" w:styleId="ListLabel2011" w:customStyle="1">
    <w:name w:val="ListLabel 2011"/>
    <w:qFormat/>
    <w:rPr>
      <w:rFonts w:cs="Wingdings"/>
    </w:rPr>
  </w:style>
  <w:style w:type="character" w:styleId="ListLabel2012" w:customStyle="1">
    <w:name w:val="ListLabel 2012"/>
    <w:qFormat/>
    <w:rPr>
      <w:rFonts w:cs="Symbol"/>
    </w:rPr>
  </w:style>
  <w:style w:type="character" w:styleId="ListLabel2013" w:customStyle="1">
    <w:name w:val="ListLabel 2013"/>
    <w:qFormat/>
    <w:rPr>
      <w:rFonts w:cs="Courier New"/>
    </w:rPr>
  </w:style>
  <w:style w:type="character" w:styleId="ListLabel2014" w:customStyle="1">
    <w:name w:val="ListLabel 2014"/>
    <w:qFormat/>
    <w:rPr>
      <w:rFonts w:cs="Wingdings"/>
    </w:rPr>
  </w:style>
  <w:style w:type="character" w:styleId="ListLabel2015" w:customStyle="1">
    <w:name w:val="ListLabel 2015"/>
    <w:qFormat/>
    <w:rPr>
      <w:rFonts w:cs="Symbol"/>
    </w:rPr>
  </w:style>
  <w:style w:type="character" w:styleId="ListLabel2016" w:customStyle="1">
    <w:name w:val="ListLabel 2016"/>
    <w:qFormat/>
    <w:rPr>
      <w:rFonts w:cs="Symbol"/>
    </w:rPr>
  </w:style>
  <w:style w:type="character" w:styleId="ListLabel2017" w:customStyle="1">
    <w:name w:val="ListLabel 2017"/>
    <w:qFormat/>
    <w:rPr>
      <w:rFonts w:cs="Wingdings"/>
    </w:rPr>
  </w:style>
  <w:style w:type="character" w:styleId="ListLabel2018" w:customStyle="1">
    <w:name w:val="ListLabel 2018"/>
    <w:qFormat/>
    <w:rPr>
      <w:rFonts w:cs="Symbol"/>
    </w:rPr>
  </w:style>
  <w:style w:type="character" w:styleId="ListLabel2019" w:customStyle="1">
    <w:name w:val="ListLabel 2019"/>
    <w:qFormat/>
    <w:rPr>
      <w:rFonts w:cs="Courier New"/>
    </w:rPr>
  </w:style>
  <w:style w:type="character" w:styleId="ListLabel2020" w:customStyle="1">
    <w:name w:val="ListLabel 2020"/>
    <w:qFormat/>
    <w:rPr>
      <w:rFonts w:cs="Wingdings"/>
    </w:rPr>
  </w:style>
  <w:style w:type="character" w:styleId="ListLabel2021" w:customStyle="1">
    <w:name w:val="ListLabel 2021"/>
    <w:qFormat/>
    <w:rPr>
      <w:rFonts w:cs="Symbol"/>
    </w:rPr>
  </w:style>
  <w:style w:type="character" w:styleId="ListLabel2022" w:customStyle="1">
    <w:name w:val="ListLabel 2022"/>
    <w:qFormat/>
    <w:rPr>
      <w:rFonts w:cs="Courier New"/>
    </w:rPr>
  </w:style>
  <w:style w:type="character" w:styleId="ListLabel2023" w:customStyle="1">
    <w:name w:val="ListLabel 2023"/>
    <w:qFormat/>
    <w:rPr>
      <w:rFonts w:cs="Wingdings"/>
    </w:rPr>
  </w:style>
  <w:style w:type="character" w:styleId="ListLabel2024" w:customStyle="1">
    <w:name w:val="ListLabel 2024"/>
    <w:qFormat/>
    <w:rPr>
      <w:rFonts w:cs="Symbol"/>
    </w:rPr>
  </w:style>
  <w:style w:type="character" w:styleId="ListLabel2025" w:customStyle="1">
    <w:name w:val="ListLabel 2025"/>
    <w:qFormat/>
    <w:rPr>
      <w:rFonts w:cs="Symbol"/>
    </w:rPr>
  </w:style>
  <w:style w:type="character" w:styleId="ListLabel2026" w:customStyle="1">
    <w:name w:val="ListLabel 2026"/>
    <w:qFormat/>
    <w:rPr>
      <w:rFonts w:cs="Courier New"/>
    </w:rPr>
  </w:style>
  <w:style w:type="character" w:styleId="ListLabel2027" w:customStyle="1">
    <w:name w:val="ListLabel 2027"/>
    <w:qFormat/>
    <w:rPr>
      <w:rFonts w:cs="Symbol"/>
      <w:sz w:val="20"/>
    </w:rPr>
  </w:style>
  <w:style w:type="character" w:styleId="ListLabel2028" w:customStyle="1">
    <w:name w:val="ListLabel 2028"/>
    <w:qFormat/>
    <w:rPr>
      <w:rFonts w:cs="Courier New"/>
    </w:rPr>
  </w:style>
  <w:style w:type="character" w:styleId="ListLabel2029" w:customStyle="1">
    <w:name w:val="ListLabel 2029"/>
    <w:qFormat/>
    <w:rPr>
      <w:rFonts w:cs="Wingdings"/>
    </w:rPr>
  </w:style>
  <w:style w:type="character" w:styleId="ListLabel2030" w:customStyle="1">
    <w:name w:val="ListLabel 2030"/>
    <w:qFormat/>
    <w:rPr>
      <w:rFonts w:cs="Symbol"/>
    </w:rPr>
  </w:style>
  <w:style w:type="character" w:styleId="ListLabel2031" w:customStyle="1">
    <w:name w:val="ListLabel 2031"/>
    <w:qFormat/>
    <w:rPr>
      <w:rFonts w:cs="Courier New"/>
    </w:rPr>
  </w:style>
  <w:style w:type="character" w:styleId="ListLabel2032" w:customStyle="1">
    <w:name w:val="ListLabel 2032"/>
    <w:qFormat/>
    <w:rPr>
      <w:rFonts w:cs="Wingdings"/>
    </w:rPr>
  </w:style>
  <w:style w:type="character" w:styleId="ListLabel2033" w:customStyle="1">
    <w:name w:val="ListLabel 2033"/>
    <w:qFormat/>
    <w:rPr>
      <w:rFonts w:cs="Symbol"/>
    </w:rPr>
  </w:style>
  <w:style w:type="character" w:styleId="ListLabel2034" w:customStyle="1">
    <w:name w:val="ListLabel 2034"/>
    <w:qFormat/>
    <w:rPr>
      <w:rFonts w:cs="Courier New"/>
    </w:rPr>
  </w:style>
  <w:style w:type="character" w:styleId="ListLabel2035" w:customStyle="1">
    <w:name w:val="ListLabel 2035"/>
    <w:qFormat/>
    <w:rPr>
      <w:rFonts w:cs="Wingdings"/>
    </w:rPr>
  </w:style>
  <w:style w:type="character" w:styleId="ListLabel2036" w:customStyle="1">
    <w:name w:val="ListLabel 2036"/>
    <w:qFormat/>
    <w:rPr>
      <w:rFonts w:cs="Symbol"/>
      <w:sz w:val="22"/>
    </w:rPr>
  </w:style>
  <w:style w:type="character" w:styleId="ListLabel2037" w:customStyle="1">
    <w:name w:val="ListLabel 2037"/>
    <w:qFormat/>
    <w:rPr>
      <w:rFonts w:cs="Courier New"/>
    </w:rPr>
  </w:style>
  <w:style w:type="character" w:styleId="ListLabel2038" w:customStyle="1">
    <w:name w:val="ListLabel 2038"/>
    <w:qFormat/>
    <w:rPr>
      <w:rFonts w:cs="Wingdings"/>
    </w:rPr>
  </w:style>
  <w:style w:type="character" w:styleId="ListLabel2039" w:customStyle="1">
    <w:name w:val="ListLabel 2039"/>
    <w:qFormat/>
    <w:rPr>
      <w:rFonts w:cs="Symbol"/>
    </w:rPr>
  </w:style>
  <w:style w:type="character" w:styleId="ListLabel2040" w:customStyle="1">
    <w:name w:val="ListLabel 2040"/>
    <w:qFormat/>
    <w:rPr>
      <w:rFonts w:cs="Courier New"/>
    </w:rPr>
  </w:style>
  <w:style w:type="character" w:styleId="ListLabel2041" w:customStyle="1">
    <w:name w:val="ListLabel 2041"/>
    <w:qFormat/>
    <w:rPr>
      <w:rFonts w:cs="Wingdings"/>
    </w:rPr>
  </w:style>
  <w:style w:type="character" w:styleId="ListLabel2042" w:customStyle="1">
    <w:name w:val="ListLabel 2042"/>
    <w:qFormat/>
    <w:rPr>
      <w:rFonts w:cs="Symbol"/>
    </w:rPr>
  </w:style>
  <w:style w:type="character" w:styleId="ListLabel2043" w:customStyle="1">
    <w:name w:val="ListLabel 2043"/>
    <w:qFormat/>
    <w:rPr>
      <w:rFonts w:cs="Courier New"/>
    </w:rPr>
  </w:style>
  <w:style w:type="character" w:styleId="ListLabel2044" w:customStyle="1">
    <w:name w:val="ListLabel 2044"/>
    <w:qFormat/>
    <w:rPr>
      <w:rFonts w:cs="Wingdings"/>
    </w:rPr>
  </w:style>
  <w:style w:type="character" w:styleId="ListLabel2045" w:customStyle="1">
    <w:name w:val="ListLabel 2045"/>
    <w:qFormat/>
    <w:rPr>
      <w:rFonts w:cs="OpenSymbol"/>
      <w:sz w:val="22"/>
    </w:rPr>
  </w:style>
  <w:style w:type="character" w:styleId="ListLabel2046" w:customStyle="1">
    <w:name w:val="ListLabel 2046"/>
    <w:qFormat/>
    <w:rPr>
      <w:rFonts w:cs="OpenSymbol"/>
    </w:rPr>
  </w:style>
  <w:style w:type="character" w:styleId="ListLabel2047" w:customStyle="1">
    <w:name w:val="ListLabel 2047"/>
    <w:qFormat/>
    <w:rPr>
      <w:rFonts w:cs="OpenSymbol"/>
    </w:rPr>
  </w:style>
  <w:style w:type="character" w:styleId="ListLabel2048" w:customStyle="1">
    <w:name w:val="ListLabel 2048"/>
    <w:qFormat/>
    <w:rPr>
      <w:rFonts w:cs="OpenSymbol"/>
    </w:rPr>
  </w:style>
  <w:style w:type="character" w:styleId="ListLabel2049" w:customStyle="1">
    <w:name w:val="ListLabel 2049"/>
    <w:qFormat/>
    <w:rPr>
      <w:rFonts w:cs="OpenSymbol"/>
    </w:rPr>
  </w:style>
  <w:style w:type="character" w:styleId="ListLabel2050" w:customStyle="1">
    <w:name w:val="ListLabel 2050"/>
    <w:qFormat/>
    <w:rPr>
      <w:rFonts w:cs="OpenSymbol"/>
    </w:rPr>
  </w:style>
  <w:style w:type="character" w:styleId="ListLabel2051" w:customStyle="1">
    <w:name w:val="ListLabel 2051"/>
    <w:qFormat/>
    <w:rPr>
      <w:rFonts w:cs="OpenSymbol"/>
    </w:rPr>
  </w:style>
  <w:style w:type="character" w:styleId="ListLabel2052" w:customStyle="1">
    <w:name w:val="ListLabel 2052"/>
    <w:qFormat/>
    <w:rPr>
      <w:rFonts w:cs="OpenSymbol"/>
    </w:rPr>
  </w:style>
  <w:style w:type="character" w:styleId="ListLabel2053" w:customStyle="1">
    <w:name w:val="ListLabel 2053"/>
    <w:qFormat/>
    <w:rPr>
      <w:rFonts w:cs="OpenSymbol"/>
    </w:rPr>
  </w:style>
  <w:style w:type="character" w:styleId="ListLabel2054" w:customStyle="1">
    <w:name w:val="ListLabel 2054"/>
    <w:qFormat/>
    <w:rPr>
      <w:b/>
    </w:rPr>
  </w:style>
  <w:style w:type="character" w:styleId="ListLabel2055" w:customStyle="1">
    <w:name w:val="ListLabel 2055"/>
    <w:qFormat/>
    <w:rPr>
      <w:i w:val="false"/>
    </w:rPr>
  </w:style>
  <w:style w:type="character" w:styleId="ListLabel2056" w:customStyle="1">
    <w:name w:val="ListLabel 2056"/>
    <w:qFormat/>
    <w:rPr>
      <w:rFonts w:cs="Symbol"/>
      <w:sz w:val="22"/>
    </w:rPr>
  </w:style>
  <w:style w:type="character" w:styleId="ListLabel2057" w:customStyle="1">
    <w:name w:val="ListLabel 2057"/>
    <w:qFormat/>
    <w:rPr>
      <w:rFonts w:cs="Courier New"/>
    </w:rPr>
  </w:style>
  <w:style w:type="character" w:styleId="ListLabel2058" w:customStyle="1">
    <w:name w:val="ListLabel 2058"/>
    <w:qFormat/>
    <w:rPr>
      <w:rFonts w:cs="Wingdings"/>
    </w:rPr>
  </w:style>
  <w:style w:type="character" w:styleId="ListLabel2059" w:customStyle="1">
    <w:name w:val="ListLabel 2059"/>
    <w:qFormat/>
    <w:rPr>
      <w:rFonts w:cs="Symbol"/>
    </w:rPr>
  </w:style>
  <w:style w:type="character" w:styleId="ListLabel2060" w:customStyle="1">
    <w:name w:val="ListLabel 2060"/>
    <w:qFormat/>
    <w:rPr>
      <w:rFonts w:cs="Courier New"/>
    </w:rPr>
  </w:style>
  <w:style w:type="character" w:styleId="ListLabel2061" w:customStyle="1">
    <w:name w:val="ListLabel 2061"/>
    <w:qFormat/>
    <w:rPr>
      <w:rFonts w:cs="Wingdings"/>
    </w:rPr>
  </w:style>
  <w:style w:type="character" w:styleId="ListLabel2062" w:customStyle="1">
    <w:name w:val="ListLabel 2062"/>
    <w:qFormat/>
    <w:rPr>
      <w:rFonts w:cs="Symbol"/>
    </w:rPr>
  </w:style>
  <w:style w:type="character" w:styleId="ListLabel2063" w:customStyle="1">
    <w:name w:val="ListLabel 2063"/>
    <w:qFormat/>
    <w:rPr>
      <w:rFonts w:cs="Courier New"/>
    </w:rPr>
  </w:style>
  <w:style w:type="character" w:styleId="ListLabel2064" w:customStyle="1">
    <w:name w:val="ListLabel 2064"/>
    <w:qFormat/>
    <w:rPr>
      <w:rFonts w:cs="Wingdings"/>
    </w:rPr>
  </w:style>
  <w:style w:type="character" w:styleId="ListLabel2065" w:customStyle="1">
    <w:name w:val="ListLabel 2065"/>
    <w:qFormat/>
    <w:rPr>
      <w:rFonts w:cs="OpenSymbol"/>
    </w:rPr>
  </w:style>
  <w:style w:type="character" w:styleId="ListLabel2066" w:customStyle="1">
    <w:name w:val="ListLabel 2066"/>
    <w:qFormat/>
    <w:rPr>
      <w:rFonts w:cs="OpenSymbol"/>
    </w:rPr>
  </w:style>
  <w:style w:type="character" w:styleId="ListLabel2067" w:customStyle="1">
    <w:name w:val="ListLabel 2067"/>
    <w:qFormat/>
    <w:rPr>
      <w:rFonts w:cs="OpenSymbol"/>
    </w:rPr>
  </w:style>
  <w:style w:type="character" w:styleId="ListLabel2068" w:customStyle="1">
    <w:name w:val="ListLabel 2068"/>
    <w:qFormat/>
    <w:rPr>
      <w:rFonts w:cs="OpenSymbol"/>
    </w:rPr>
  </w:style>
  <w:style w:type="character" w:styleId="ListLabel2069" w:customStyle="1">
    <w:name w:val="ListLabel 2069"/>
    <w:qFormat/>
    <w:rPr>
      <w:rFonts w:cs="OpenSymbol"/>
    </w:rPr>
  </w:style>
  <w:style w:type="character" w:styleId="ListLabel2070" w:customStyle="1">
    <w:name w:val="ListLabel 2070"/>
    <w:qFormat/>
    <w:rPr>
      <w:rFonts w:cs="OpenSymbol"/>
    </w:rPr>
  </w:style>
  <w:style w:type="character" w:styleId="ListLabel2071" w:customStyle="1">
    <w:name w:val="ListLabel 2071"/>
    <w:qFormat/>
    <w:rPr>
      <w:rFonts w:cs="OpenSymbol"/>
    </w:rPr>
  </w:style>
  <w:style w:type="character" w:styleId="ListLabel2072" w:customStyle="1">
    <w:name w:val="ListLabel 2072"/>
    <w:qFormat/>
    <w:rPr>
      <w:rFonts w:cs="OpenSymbol"/>
    </w:rPr>
  </w:style>
  <w:style w:type="character" w:styleId="ListLabel2073" w:customStyle="1">
    <w:name w:val="ListLabel 2073"/>
    <w:qFormat/>
    <w:rPr>
      <w:rFonts w:cs="OpenSymbol"/>
    </w:rPr>
  </w:style>
  <w:style w:type="character" w:styleId="ListLabel2074" w:customStyle="1">
    <w:name w:val="ListLabel 2074"/>
    <w:qFormat/>
    <w:rPr>
      <w:rFonts w:cs="OpenSymbol"/>
    </w:rPr>
  </w:style>
  <w:style w:type="character" w:styleId="ListLabel2075" w:customStyle="1">
    <w:name w:val="ListLabel 2075"/>
    <w:qFormat/>
    <w:rPr>
      <w:rFonts w:cs="OpenSymbol"/>
    </w:rPr>
  </w:style>
  <w:style w:type="character" w:styleId="ListLabel2076" w:customStyle="1">
    <w:name w:val="ListLabel 2076"/>
    <w:qFormat/>
    <w:rPr>
      <w:rFonts w:cs="OpenSymbol"/>
    </w:rPr>
  </w:style>
  <w:style w:type="character" w:styleId="ListLabel2077" w:customStyle="1">
    <w:name w:val="ListLabel 2077"/>
    <w:qFormat/>
    <w:rPr>
      <w:rFonts w:cs="OpenSymbol"/>
    </w:rPr>
  </w:style>
  <w:style w:type="character" w:styleId="ListLabel2078" w:customStyle="1">
    <w:name w:val="ListLabel 2078"/>
    <w:qFormat/>
    <w:rPr>
      <w:rFonts w:cs="OpenSymbol"/>
    </w:rPr>
  </w:style>
  <w:style w:type="character" w:styleId="ListLabel2079" w:customStyle="1">
    <w:name w:val="ListLabel 2079"/>
    <w:qFormat/>
    <w:rPr>
      <w:rFonts w:cs="OpenSymbol"/>
    </w:rPr>
  </w:style>
  <w:style w:type="character" w:styleId="ListLabel2080" w:customStyle="1">
    <w:name w:val="ListLabel 2080"/>
    <w:qFormat/>
    <w:rPr>
      <w:rFonts w:cs="OpenSymbol"/>
    </w:rPr>
  </w:style>
  <w:style w:type="character" w:styleId="ListLabel2081" w:customStyle="1">
    <w:name w:val="ListLabel 2081"/>
    <w:qFormat/>
    <w:rPr>
      <w:rFonts w:cs="OpenSymbol"/>
    </w:rPr>
  </w:style>
  <w:style w:type="character" w:styleId="ListLabel2082" w:customStyle="1">
    <w:name w:val="ListLabel 2082"/>
    <w:qFormat/>
    <w:rPr>
      <w:rFonts w:cs="OpenSymbol"/>
    </w:rPr>
  </w:style>
  <w:style w:type="character" w:styleId="ListLabel2083" w:customStyle="1">
    <w:name w:val="ListLabel 2083"/>
    <w:qFormat/>
    <w:rPr>
      <w:rFonts w:ascii="Calibri" w:hAnsi="Calibri" w:cs="Symbol"/>
    </w:rPr>
  </w:style>
  <w:style w:type="character" w:styleId="ListLabel2084" w:customStyle="1">
    <w:name w:val="ListLabel 2084"/>
    <w:qFormat/>
    <w:rPr>
      <w:rFonts w:cs="Courier New"/>
    </w:rPr>
  </w:style>
  <w:style w:type="character" w:styleId="ListLabel2085" w:customStyle="1">
    <w:name w:val="ListLabel 2085"/>
    <w:qFormat/>
    <w:rPr>
      <w:rFonts w:cs="Wingdings"/>
    </w:rPr>
  </w:style>
  <w:style w:type="character" w:styleId="ListLabel2086" w:customStyle="1">
    <w:name w:val="ListLabel 2086"/>
    <w:qFormat/>
    <w:rPr>
      <w:rFonts w:cs="Symbol"/>
    </w:rPr>
  </w:style>
  <w:style w:type="character" w:styleId="ListLabel2087" w:customStyle="1">
    <w:name w:val="ListLabel 2087"/>
    <w:qFormat/>
    <w:rPr>
      <w:rFonts w:cs="Courier New"/>
    </w:rPr>
  </w:style>
  <w:style w:type="character" w:styleId="ListLabel2088" w:customStyle="1">
    <w:name w:val="ListLabel 2088"/>
    <w:qFormat/>
    <w:rPr>
      <w:rFonts w:cs="Wingdings"/>
    </w:rPr>
  </w:style>
  <w:style w:type="character" w:styleId="ListLabel2089" w:customStyle="1">
    <w:name w:val="ListLabel 2089"/>
    <w:qFormat/>
    <w:rPr>
      <w:rFonts w:cs="Symbol"/>
    </w:rPr>
  </w:style>
  <w:style w:type="character" w:styleId="ListLabel2090" w:customStyle="1">
    <w:name w:val="ListLabel 2090"/>
    <w:qFormat/>
    <w:rPr>
      <w:rFonts w:cs="Courier New"/>
    </w:rPr>
  </w:style>
  <w:style w:type="character" w:styleId="ListLabel2091" w:customStyle="1">
    <w:name w:val="ListLabel 2091"/>
    <w:qFormat/>
    <w:rPr>
      <w:rFonts w:cs="Wingdings"/>
    </w:rPr>
  </w:style>
  <w:style w:type="character" w:styleId="ListLabel2092" w:customStyle="1">
    <w:name w:val="ListLabel 2092"/>
    <w:qFormat/>
    <w:rPr>
      <w:rFonts w:cs="OpenSymbol"/>
    </w:rPr>
  </w:style>
  <w:style w:type="character" w:styleId="ListLabel2093" w:customStyle="1">
    <w:name w:val="ListLabel 2093"/>
    <w:qFormat/>
    <w:rPr>
      <w:rFonts w:cs="OpenSymbol"/>
    </w:rPr>
  </w:style>
  <w:style w:type="character" w:styleId="ListLabel2094" w:customStyle="1">
    <w:name w:val="ListLabel 2094"/>
    <w:qFormat/>
    <w:rPr>
      <w:rFonts w:cs="OpenSymbol"/>
    </w:rPr>
  </w:style>
  <w:style w:type="character" w:styleId="ListLabel2095" w:customStyle="1">
    <w:name w:val="ListLabel 2095"/>
    <w:qFormat/>
    <w:rPr>
      <w:rFonts w:cs="OpenSymbol"/>
    </w:rPr>
  </w:style>
  <w:style w:type="character" w:styleId="ListLabel2096" w:customStyle="1">
    <w:name w:val="ListLabel 2096"/>
    <w:qFormat/>
    <w:rPr>
      <w:rFonts w:cs="OpenSymbol"/>
    </w:rPr>
  </w:style>
  <w:style w:type="character" w:styleId="ListLabel2097" w:customStyle="1">
    <w:name w:val="ListLabel 2097"/>
    <w:qFormat/>
    <w:rPr>
      <w:rFonts w:cs="OpenSymbol"/>
    </w:rPr>
  </w:style>
  <w:style w:type="character" w:styleId="ListLabel2098" w:customStyle="1">
    <w:name w:val="ListLabel 2098"/>
    <w:qFormat/>
    <w:rPr>
      <w:rFonts w:cs="OpenSymbol"/>
    </w:rPr>
  </w:style>
  <w:style w:type="character" w:styleId="ListLabel2099" w:customStyle="1">
    <w:name w:val="ListLabel 2099"/>
    <w:qFormat/>
    <w:rPr>
      <w:rFonts w:cs="OpenSymbol"/>
    </w:rPr>
  </w:style>
  <w:style w:type="character" w:styleId="ListLabel2100" w:customStyle="1">
    <w:name w:val="ListLabel 2100"/>
    <w:qFormat/>
    <w:rPr>
      <w:rFonts w:cs="OpenSymbol"/>
    </w:rPr>
  </w:style>
  <w:style w:type="character" w:styleId="ListLabel2101" w:customStyle="1">
    <w:name w:val="ListLabel 2101"/>
    <w:qFormat/>
    <w:rPr>
      <w:rFonts w:cs="OpenSymbol"/>
    </w:rPr>
  </w:style>
  <w:style w:type="character" w:styleId="ListLabel2102" w:customStyle="1">
    <w:name w:val="ListLabel 2102"/>
    <w:qFormat/>
    <w:rPr>
      <w:rFonts w:cs="OpenSymbol"/>
    </w:rPr>
  </w:style>
  <w:style w:type="character" w:styleId="ListLabel2103" w:customStyle="1">
    <w:name w:val="ListLabel 2103"/>
    <w:qFormat/>
    <w:rPr>
      <w:rFonts w:cs="OpenSymbol"/>
    </w:rPr>
  </w:style>
  <w:style w:type="character" w:styleId="ListLabel2104" w:customStyle="1">
    <w:name w:val="ListLabel 2104"/>
    <w:qFormat/>
    <w:rPr>
      <w:rFonts w:cs="OpenSymbol"/>
    </w:rPr>
  </w:style>
  <w:style w:type="character" w:styleId="ListLabel2105" w:customStyle="1">
    <w:name w:val="ListLabel 2105"/>
    <w:qFormat/>
    <w:rPr>
      <w:rFonts w:cs="OpenSymbol"/>
    </w:rPr>
  </w:style>
  <w:style w:type="character" w:styleId="ListLabel2106" w:customStyle="1">
    <w:name w:val="ListLabel 2106"/>
    <w:qFormat/>
    <w:rPr>
      <w:rFonts w:cs="OpenSymbol"/>
    </w:rPr>
  </w:style>
  <w:style w:type="character" w:styleId="ListLabel2107" w:customStyle="1">
    <w:name w:val="ListLabel 2107"/>
    <w:qFormat/>
    <w:rPr>
      <w:rFonts w:cs="OpenSymbol"/>
    </w:rPr>
  </w:style>
  <w:style w:type="character" w:styleId="ListLabel2108" w:customStyle="1">
    <w:name w:val="ListLabel 2108"/>
    <w:qFormat/>
    <w:rPr>
      <w:rFonts w:cs="OpenSymbol"/>
    </w:rPr>
  </w:style>
  <w:style w:type="character" w:styleId="ListLabel2109" w:customStyle="1">
    <w:name w:val="ListLabel 2109"/>
    <w:qFormat/>
    <w:rPr>
      <w:rFonts w:cs="OpenSymbol"/>
    </w:rPr>
  </w:style>
  <w:style w:type="character" w:styleId="ListLabel2110" w:customStyle="1">
    <w:name w:val="ListLabel 2110"/>
    <w:qFormat/>
    <w:rPr>
      <w:rFonts w:cs="OpenSymbol"/>
    </w:rPr>
  </w:style>
  <w:style w:type="character" w:styleId="ListLabel2111" w:customStyle="1">
    <w:name w:val="ListLabel 2111"/>
    <w:qFormat/>
    <w:rPr>
      <w:rFonts w:cs="OpenSymbol"/>
    </w:rPr>
  </w:style>
  <w:style w:type="character" w:styleId="ListLabel2112" w:customStyle="1">
    <w:name w:val="ListLabel 2112"/>
    <w:qFormat/>
    <w:rPr>
      <w:rFonts w:cs="OpenSymbol"/>
    </w:rPr>
  </w:style>
  <w:style w:type="character" w:styleId="ListLabel2113" w:customStyle="1">
    <w:name w:val="ListLabel 2113"/>
    <w:qFormat/>
    <w:rPr>
      <w:rFonts w:cs="OpenSymbol"/>
    </w:rPr>
  </w:style>
  <w:style w:type="character" w:styleId="ListLabel2114" w:customStyle="1">
    <w:name w:val="ListLabel 2114"/>
    <w:qFormat/>
    <w:rPr>
      <w:rFonts w:cs="OpenSymbol"/>
    </w:rPr>
  </w:style>
  <w:style w:type="character" w:styleId="ListLabel2115" w:customStyle="1">
    <w:name w:val="ListLabel 2115"/>
    <w:qFormat/>
    <w:rPr>
      <w:rFonts w:cs="OpenSymbol"/>
    </w:rPr>
  </w:style>
  <w:style w:type="character" w:styleId="ListLabel2116" w:customStyle="1">
    <w:name w:val="ListLabel 2116"/>
    <w:qFormat/>
    <w:rPr>
      <w:rFonts w:cs="OpenSymbol"/>
    </w:rPr>
  </w:style>
  <w:style w:type="character" w:styleId="ListLabel2117" w:customStyle="1">
    <w:name w:val="ListLabel 2117"/>
    <w:qFormat/>
    <w:rPr>
      <w:rFonts w:cs="OpenSymbol"/>
    </w:rPr>
  </w:style>
  <w:style w:type="character" w:styleId="ListLabel2118" w:customStyle="1">
    <w:name w:val="ListLabel 2118"/>
    <w:qFormat/>
    <w:rPr>
      <w:rFonts w:cs="OpenSymbol"/>
    </w:rPr>
  </w:style>
  <w:style w:type="character" w:styleId="ListLabel2119" w:customStyle="1">
    <w:name w:val="ListLabel 2119"/>
    <w:qFormat/>
    <w:rPr>
      <w:rFonts w:cs="OpenSymbol"/>
    </w:rPr>
  </w:style>
  <w:style w:type="character" w:styleId="ListLabel2120" w:customStyle="1">
    <w:name w:val="ListLabel 2120"/>
    <w:qFormat/>
    <w:rPr>
      <w:rFonts w:cs="OpenSymbol"/>
    </w:rPr>
  </w:style>
  <w:style w:type="character" w:styleId="ListLabel2121" w:customStyle="1">
    <w:name w:val="ListLabel 2121"/>
    <w:qFormat/>
    <w:rPr>
      <w:rFonts w:cs="OpenSymbol"/>
    </w:rPr>
  </w:style>
  <w:style w:type="character" w:styleId="ListLabel2122" w:customStyle="1">
    <w:name w:val="ListLabel 2122"/>
    <w:qFormat/>
    <w:rPr>
      <w:rFonts w:cs="OpenSymbol"/>
    </w:rPr>
  </w:style>
  <w:style w:type="character" w:styleId="ListLabel2123" w:customStyle="1">
    <w:name w:val="ListLabel 2123"/>
    <w:qFormat/>
    <w:rPr>
      <w:rFonts w:cs="OpenSymbol"/>
    </w:rPr>
  </w:style>
  <w:style w:type="character" w:styleId="ListLabel2124" w:customStyle="1">
    <w:name w:val="ListLabel 2124"/>
    <w:qFormat/>
    <w:rPr>
      <w:rFonts w:cs="OpenSymbol"/>
    </w:rPr>
  </w:style>
  <w:style w:type="character" w:styleId="ListLabel2125" w:customStyle="1">
    <w:name w:val="ListLabel 2125"/>
    <w:qFormat/>
    <w:rPr>
      <w:rFonts w:cs="OpenSymbol"/>
    </w:rPr>
  </w:style>
  <w:style w:type="character" w:styleId="ListLabel2126" w:customStyle="1">
    <w:name w:val="ListLabel 2126"/>
    <w:qFormat/>
    <w:rPr>
      <w:rFonts w:cs="OpenSymbol"/>
    </w:rPr>
  </w:style>
  <w:style w:type="character" w:styleId="ListLabel2127" w:customStyle="1">
    <w:name w:val="ListLabel 2127"/>
    <w:qFormat/>
    <w:rPr>
      <w:rFonts w:cs="OpenSymbol"/>
    </w:rPr>
  </w:style>
  <w:style w:type="character" w:styleId="ListLabel2128" w:customStyle="1">
    <w:name w:val="ListLabel 2128"/>
    <w:qFormat/>
    <w:rPr>
      <w:rFonts w:cs="OpenSymbol"/>
    </w:rPr>
  </w:style>
  <w:style w:type="character" w:styleId="ListLabel2129" w:customStyle="1">
    <w:name w:val="ListLabel 2129"/>
    <w:qFormat/>
    <w:rPr>
      <w:rFonts w:cs="OpenSymbol"/>
    </w:rPr>
  </w:style>
  <w:style w:type="character" w:styleId="ListLabel2130" w:customStyle="1">
    <w:name w:val="ListLabel 2130"/>
    <w:qFormat/>
    <w:rPr>
      <w:rFonts w:cs="OpenSymbol"/>
    </w:rPr>
  </w:style>
  <w:style w:type="character" w:styleId="ListLabel2131" w:customStyle="1">
    <w:name w:val="ListLabel 2131"/>
    <w:qFormat/>
    <w:rPr>
      <w:rFonts w:cs="OpenSymbol"/>
    </w:rPr>
  </w:style>
  <w:style w:type="character" w:styleId="ListLabel2132" w:customStyle="1">
    <w:name w:val="ListLabel 2132"/>
    <w:qFormat/>
    <w:rPr>
      <w:rFonts w:cs="OpenSymbol"/>
    </w:rPr>
  </w:style>
  <w:style w:type="character" w:styleId="ListLabel2133" w:customStyle="1">
    <w:name w:val="ListLabel 2133"/>
    <w:qFormat/>
    <w:rPr>
      <w:rFonts w:cs="OpenSymbol"/>
    </w:rPr>
  </w:style>
  <w:style w:type="character" w:styleId="ListLabel2134" w:customStyle="1">
    <w:name w:val="ListLabel 2134"/>
    <w:qFormat/>
    <w:rPr>
      <w:rFonts w:cs="OpenSymbol"/>
    </w:rPr>
  </w:style>
  <w:style w:type="character" w:styleId="ListLabel2135" w:customStyle="1">
    <w:name w:val="ListLabel 2135"/>
    <w:qFormat/>
    <w:rPr>
      <w:rFonts w:cs="OpenSymbol"/>
    </w:rPr>
  </w:style>
  <w:style w:type="character" w:styleId="ListLabel2136" w:customStyle="1">
    <w:name w:val="ListLabel 2136"/>
    <w:qFormat/>
    <w:rPr>
      <w:rFonts w:cs="OpenSymbol"/>
    </w:rPr>
  </w:style>
  <w:style w:type="character" w:styleId="ListLabel2137" w:customStyle="1">
    <w:name w:val="ListLabel 2137"/>
    <w:qFormat/>
    <w:rPr>
      <w:rFonts w:cs="OpenSymbol"/>
    </w:rPr>
  </w:style>
  <w:style w:type="character" w:styleId="ListLabel2138" w:customStyle="1">
    <w:name w:val="ListLabel 2138"/>
    <w:qFormat/>
    <w:rPr>
      <w:rFonts w:cs="OpenSymbol"/>
    </w:rPr>
  </w:style>
  <w:style w:type="character" w:styleId="ListLabel2139" w:customStyle="1">
    <w:name w:val="ListLabel 2139"/>
    <w:qFormat/>
    <w:rPr>
      <w:rFonts w:cs="OpenSymbol"/>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rPr>
  </w:style>
  <w:style w:type="character" w:styleId="ListLabel2143" w:customStyle="1">
    <w:name w:val="ListLabel 2143"/>
    <w:qFormat/>
    <w:rPr>
      <w:rFonts w:cs="OpenSymbol"/>
    </w:rPr>
  </w:style>
  <w:style w:type="character" w:styleId="ListLabel2144" w:customStyle="1">
    <w:name w:val="ListLabel 2144"/>
    <w:qFormat/>
    <w:rPr>
      <w:rFonts w:cs="OpenSymbol"/>
    </w:rPr>
  </w:style>
  <w:style w:type="character" w:styleId="ListLabel2145" w:customStyle="1">
    <w:name w:val="ListLabel 2145"/>
    <w:qFormat/>
    <w:rPr>
      <w:rFonts w:cs="OpenSymbol"/>
    </w:rPr>
  </w:style>
  <w:style w:type="character" w:styleId="ListLabel2146" w:customStyle="1">
    <w:name w:val="ListLabel 2146"/>
    <w:qFormat/>
    <w:rPr>
      <w:rFonts w:cs="OpenSymbol"/>
    </w:rPr>
  </w:style>
  <w:style w:type="character" w:styleId="ListLabel2147" w:customStyle="1">
    <w:name w:val="ListLabel 2147"/>
    <w:qFormat/>
    <w:rPr>
      <w:rFonts w:cs="OpenSymbol"/>
    </w:rPr>
  </w:style>
  <w:style w:type="character" w:styleId="ListLabel2148" w:customStyle="1">
    <w:name w:val="ListLabel 2148"/>
    <w:qFormat/>
    <w:rPr>
      <w:rFonts w:cs="OpenSymbol"/>
    </w:rPr>
  </w:style>
  <w:style w:type="character" w:styleId="ListLabel2149" w:customStyle="1">
    <w:name w:val="ListLabel 2149"/>
    <w:qFormat/>
    <w:rPr>
      <w:rFonts w:cs="OpenSymbol"/>
    </w:rPr>
  </w:style>
  <w:style w:type="character" w:styleId="ListLabel2150" w:customStyle="1">
    <w:name w:val="ListLabel 2150"/>
    <w:qFormat/>
    <w:rPr>
      <w:rFonts w:cs="OpenSymbol"/>
    </w:rPr>
  </w:style>
  <w:style w:type="character" w:styleId="ListLabel2151" w:customStyle="1">
    <w:name w:val="ListLabel 2151"/>
    <w:qFormat/>
    <w:rPr>
      <w:rFonts w:cs="OpenSymbol"/>
    </w:rPr>
  </w:style>
  <w:style w:type="character" w:styleId="ListLabel2152" w:customStyle="1">
    <w:name w:val="ListLabel 2152"/>
    <w:qFormat/>
    <w:rPr>
      <w:rFonts w:cs="OpenSymbol"/>
    </w:rPr>
  </w:style>
  <w:style w:type="character" w:styleId="ListLabel2153" w:customStyle="1">
    <w:name w:val="ListLabel 2153"/>
    <w:qFormat/>
    <w:rPr>
      <w:rFonts w:cs="OpenSymbol"/>
    </w:rPr>
  </w:style>
  <w:style w:type="character" w:styleId="ListLabel2154" w:customStyle="1">
    <w:name w:val="ListLabel 2154"/>
    <w:qFormat/>
    <w:rPr>
      <w:rFonts w:cs="OpenSymbol"/>
    </w:rPr>
  </w:style>
  <w:style w:type="character" w:styleId="ListLabel2155" w:customStyle="1">
    <w:name w:val="ListLabel 2155"/>
    <w:qFormat/>
    <w:rPr>
      <w:rFonts w:cs="OpenSymbol"/>
    </w:rPr>
  </w:style>
  <w:style w:type="character" w:styleId="ListLabel2156" w:customStyle="1">
    <w:name w:val="ListLabel 2156"/>
    <w:qFormat/>
    <w:rPr>
      <w:rFonts w:cs="OpenSymbol"/>
    </w:rPr>
  </w:style>
  <w:style w:type="character" w:styleId="ListLabel2157" w:customStyle="1">
    <w:name w:val="ListLabel 2157"/>
    <w:qFormat/>
    <w:rPr>
      <w:rFonts w:cs="OpenSymbol"/>
    </w:rPr>
  </w:style>
  <w:style w:type="character" w:styleId="ListLabel2158" w:customStyle="1">
    <w:name w:val="ListLabel 2158"/>
    <w:qFormat/>
    <w:rPr>
      <w:rFonts w:cs="OpenSymbol"/>
    </w:rPr>
  </w:style>
  <w:style w:type="character" w:styleId="ListLabel2159" w:customStyle="1">
    <w:name w:val="ListLabel 2159"/>
    <w:qFormat/>
    <w:rPr>
      <w:rFonts w:cs="OpenSymbol"/>
    </w:rPr>
  </w:style>
  <w:style w:type="character" w:styleId="ListLabel2160" w:customStyle="1">
    <w:name w:val="ListLabel 2160"/>
    <w:qFormat/>
    <w:rPr>
      <w:rFonts w:cs="OpenSymbol"/>
    </w:rPr>
  </w:style>
  <w:style w:type="character" w:styleId="ListLabel2161" w:customStyle="1">
    <w:name w:val="ListLabel 2161"/>
    <w:qFormat/>
    <w:rPr>
      <w:rFonts w:cs="OpenSymbol"/>
    </w:rPr>
  </w:style>
  <w:style w:type="character" w:styleId="ListLabel2162" w:customStyle="1">
    <w:name w:val="ListLabel 2162"/>
    <w:qFormat/>
    <w:rPr>
      <w:rFonts w:cs="OpenSymbol"/>
    </w:rPr>
  </w:style>
  <w:style w:type="character" w:styleId="ListLabel2163" w:customStyle="1">
    <w:name w:val="ListLabel 2163"/>
    <w:qFormat/>
    <w:rPr>
      <w:rFonts w:cs="OpenSymbol"/>
    </w:rPr>
  </w:style>
  <w:style w:type="character" w:styleId="ListLabel2164" w:customStyle="1">
    <w:name w:val="ListLabel 2164"/>
    <w:qFormat/>
    <w:rPr>
      <w:rFonts w:eastAsia="Times New Roman" w:cs="Trebuchet MS"/>
      <w:color w:val="000000"/>
      <w:sz w:val="24"/>
      <w:szCs w:val="24"/>
    </w:rPr>
  </w:style>
  <w:style w:type="character" w:styleId="ListLabel2165" w:customStyle="1">
    <w:name w:val="ListLabel 2165"/>
    <w:qFormat/>
    <w:rPr>
      <w:sz w:val="20"/>
    </w:rPr>
  </w:style>
  <w:style w:type="character" w:styleId="ListLabel2166" w:customStyle="1">
    <w:name w:val="ListLabel 2166"/>
    <w:qFormat/>
    <w:rPr>
      <w:sz w:val="16"/>
      <w:szCs w:val="16"/>
    </w:rPr>
  </w:style>
  <w:style w:type="character" w:styleId="ListLabel2167" w:customStyle="1">
    <w:name w:val="ListLabel 2167"/>
    <w:qFormat/>
    <w:rPr>
      <w:rFonts w:cs="Calibri"/>
      <w:color w:val="000000"/>
    </w:rPr>
  </w:style>
  <w:style w:type="character" w:styleId="ListLabel2168" w:customStyle="1">
    <w:name w:val="ListLabel 2168"/>
    <w:qFormat/>
    <w:rPr>
      <w:rFonts w:ascii="Arial" w:hAnsi="Arial" w:eastAsia="Times New Roman" w:cs="Arial"/>
      <w:sz w:val="18"/>
    </w:rPr>
  </w:style>
  <w:style w:type="character" w:styleId="ListLabel2169" w:customStyle="1">
    <w:name w:val="ListLabel 2169"/>
    <w:qFormat/>
    <w:rPr>
      <w:rFonts w:ascii="Arial" w:hAnsi="Arial" w:eastAsia="Times New Roman" w:cs="Arial"/>
      <w:b/>
      <w:bCs/>
      <w:sz w:val="18"/>
    </w:rPr>
  </w:style>
  <w:style w:type="character" w:styleId="ListLabel2170" w:customStyle="1">
    <w:name w:val="ListLabel 2170"/>
    <w:qFormat/>
    <w:rPr>
      <w:rFonts w:cs="Calibri"/>
    </w:rPr>
  </w:style>
  <w:style w:type="character" w:styleId="ListLabel2171" w:customStyle="1">
    <w:name w:val="ListLabel 2171"/>
    <w:qFormat/>
    <w:rPr>
      <w:rFonts w:cs="Calibri"/>
    </w:rPr>
  </w:style>
  <w:style w:type="character" w:styleId="ListLabel2172" w:customStyle="1">
    <w:name w:val="ListLabel 2172"/>
    <w:qFormat/>
    <w:rPr>
      <w:sz w:val="24"/>
      <w:szCs w:val="24"/>
    </w:rPr>
  </w:style>
  <w:style w:type="character" w:styleId="ListLabel2173" w:customStyle="1">
    <w:name w:val="ListLabel 2173"/>
    <w:qFormat/>
    <w:rPr>
      <w:b/>
      <w:bCs/>
      <w:i/>
      <w:sz w:val="28"/>
      <w:szCs w:val="28"/>
    </w:rPr>
  </w:style>
  <w:style w:type="character" w:styleId="ListLabel2174" w:customStyle="1">
    <w:name w:val="ListLabel 2174"/>
    <w:qFormat/>
    <w:rPr/>
  </w:style>
  <w:style w:type="character" w:styleId="ListLabel2175" w:customStyle="1">
    <w:name w:val="ListLabel 2175"/>
    <w:qFormat/>
    <w:rPr>
      <w:b w:val="false"/>
      <w:bCs w:val="false"/>
      <w:color w:val="000000" w:themeColor="text1"/>
    </w:rPr>
  </w:style>
  <w:style w:type="character" w:styleId="Internetlink" w:customStyle="1">
    <w:name w:val="Internet link"/>
    <w:basedOn w:val="DefaultParagraphFont"/>
    <w:qFormat/>
    <w:rPr>
      <w:color w:val="0563C1"/>
      <w:u w:val="single"/>
    </w:rPr>
  </w:style>
  <w:style w:type="character" w:styleId="ListLabel2176">
    <w:name w:val="ListLabel 2176"/>
    <w:qFormat/>
    <w:rPr>
      <w:rFonts w:cs="Symbol"/>
    </w:rPr>
  </w:style>
  <w:style w:type="character" w:styleId="ListLabel2177">
    <w:name w:val="ListLabel 2177"/>
    <w:qFormat/>
    <w:rPr>
      <w:rFonts w:cs="Courier New"/>
    </w:rPr>
  </w:style>
  <w:style w:type="character" w:styleId="ListLabel2178">
    <w:name w:val="ListLabel 2178"/>
    <w:qFormat/>
    <w:rPr>
      <w:rFonts w:cs="Wingdings"/>
    </w:rPr>
  </w:style>
  <w:style w:type="character" w:styleId="ListLabel2179">
    <w:name w:val="ListLabel 2179"/>
    <w:qFormat/>
    <w:rPr>
      <w:rFonts w:cs="Symbol"/>
    </w:rPr>
  </w:style>
  <w:style w:type="character" w:styleId="ListLabel2180">
    <w:name w:val="ListLabel 2180"/>
    <w:qFormat/>
    <w:rPr>
      <w:rFonts w:cs="Courier New"/>
    </w:rPr>
  </w:style>
  <w:style w:type="character" w:styleId="ListLabel2181">
    <w:name w:val="ListLabel 2181"/>
    <w:qFormat/>
    <w:rPr>
      <w:rFonts w:cs="Wingdings"/>
    </w:rPr>
  </w:style>
  <w:style w:type="character" w:styleId="ListLabel2182">
    <w:name w:val="ListLabel 2182"/>
    <w:qFormat/>
    <w:rPr>
      <w:rFonts w:cs="Symbol"/>
    </w:rPr>
  </w:style>
  <w:style w:type="character" w:styleId="ListLabel2183">
    <w:name w:val="ListLabel 2183"/>
    <w:qFormat/>
    <w:rPr>
      <w:rFonts w:cs="Courier New"/>
    </w:rPr>
  </w:style>
  <w:style w:type="character" w:styleId="ListLabel2184">
    <w:name w:val="ListLabel 2184"/>
    <w:qFormat/>
    <w:rPr>
      <w:rFonts w:cs="Wingdings"/>
    </w:rPr>
  </w:style>
  <w:style w:type="character" w:styleId="ListLabel2185">
    <w:name w:val="ListLabel 2185"/>
    <w:qFormat/>
    <w:rPr>
      <w:rFonts w:cs="Symbol"/>
      <w:sz w:val="20"/>
    </w:rPr>
  </w:style>
  <w:style w:type="character" w:styleId="ListLabel2186">
    <w:name w:val="ListLabel 2186"/>
    <w:qFormat/>
    <w:rPr>
      <w:rFonts w:cs="Symbol"/>
    </w:rPr>
  </w:style>
  <w:style w:type="character" w:styleId="ListLabel2187">
    <w:name w:val="ListLabel 2187"/>
    <w:qFormat/>
    <w:rPr>
      <w:rFonts w:cs="Courier New"/>
    </w:rPr>
  </w:style>
  <w:style w:type="character" w:styleId="ListLabel2188">
    <w:name w:val="ListLabel 2188"/>
    <w:qFormat/>
    <w:rPr>
      <w:rFonts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OpenSymbol"/>
      <w:sz w:val="22"/>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rPr>
  </w:style>
  <w:style w:type="character" w:styleId="ListLabel2205">
    <w:name w:val="ListLabel 2205"/>
    <w:qFormat/>
    <w:rPr>
      <w:rFonts w:cs="OpenSymbol"/>
    </w:rPr>
  </w:style>
  <w:style w:type="character" w:styleId="ListLabel2206">
    <w:name w:val="ListLabel 2206"/>
    <w:qFormat/>
    <w:rPr>
      <w:rFonts w:cs="OpenSymbol"/>
      <w:sz w:val="22"/>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cs="OpenSymbol"/>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rPr>
  </w:style>
  <w:style w:type="character" w:styleId="ListLabel2223">
    <w:name w:val="ListLabel 2223"/>
    <w:qFormat/>
    <w:rPr>
      <w:rFonts w:cs="Symbol"/>
    </w:rPr>
  </w:style>
  <w:style w:type="character" w:styleId="ListLabel2224">
    <w:name w:val="ListLabel 2224"/>
    <w:qFormat/>
    <w:rPr>
      <w:rFonts w:cs="Courier New"/>
    </w:rPr>
  </w:style>
  <w:style w:type="character" w:styleId="ListLabel2225">
    <w:name w:val="ListLabel 2225"/>
    <w:qFormat/>
    <w:rPr>
      <w:rFonts w:cs="Wingdings"/>
    </w:rPr>
  </w:style>
  <w:style w:type="character" w:styleId="ListLabel2226">
    <w:name w:val="ListLabel 2226"/>
    <w:qFormat/>
    <w:rPr>
      <w:rFonts w:cs="Symbol"/>
    </w:rPr>
  </w:style>
  <w:style w:type="character" w:styleId="ListLabel2227">
    <w:name w:val="ListLabel 2227"/>
    <w:qFormat/>
    <w:rPr>
      <w:rFonts w:cs="Courier New"/>
    </w:rPr>
  </w:style>
  <w:style w:type="character" w:styleId="ListLabel2228">
    <w:name w:val="ListLabel 2228"/>
    <w:qFormat/>
    <w:rPr>
      <w:rFonts w:cs="Wingdings"/>
    </w:rPr>
  </w:style>
  <w:style w:type="character" w:styleId="ListLabel2229">
    <w:name w:val="ListLabel 2229"/>
    <w:qFormat/>
    <w:rPr>
      <w:rFonts w:cs="Symbol"/>
    </w:rPr>
  </w:style>
  <w:style w:type="character" w:styleId="ListLabel2230">
    <w:name w:val="ListLabel 2230"/>
    <w:qFormat/>
    <w:rPr>
      <w:rFonts w:cs="Courier New"/>
    </w:rPr>
  </w:style>
  <w:style w:type="character" w:styleId="ListLabel2231">
    <w:name w:val="ListLabel 2231"/>
    <w:qFormat/>
    <w:rPr>
      <w:rFonts w:cs="Wingdings"/>
    </w:rPr>
  </w:style>
  <w:style w:type="character" w:styleId="ListLabel2232">
    <w:name w:val="ListLabel 2232"/>
    <w:qFormat/>
    <w:rPr>
      <w:rFonts w:cs="Symbol"/>
    </w:rPr>
  </w:style>
  <w:style w:type="character" w:styleId="ListLabel2233">
    <w:name w:val="ListLabel 2233"/>
    <w:qFormat/>
    <w:rPr>
      <w:rFonts w:cs="Symbol"/>
    </w:rPr>
  </w:style>
  <w:style w:type="character" w:styleId="ListLabel2234">
    <w:name w:val="ListLabel 2234"/>
    <w:qFormat/>
    <w:rPr>
      <w:rFonts w:cs="Wingdings"/>
    </w:rPr>
  </w:style>
  <w:style w:type="character" w:styleId="ListLabel2235">
    <w:name w:val="ListLabel 2235"/>
    <w:qFormat/>
    <w:rPr>
      <w:rFonts w:cs="Symbol"/>
    </w:rPr>
  </w:style>
  <w:style w:type="character" w:styleId="ListLabel2236">
    <w:name w:val="ListLabel 2236"/>
    <w:qFormat/>
    <w:rPr>
      <w:rFonts w:cs="Courier New"/>
    </w:rPr>
  </w:style>
  <w:style w:type="character" w:styleId="ListLabel2237">
    <w:name w:val="ListLabel 2237"/>
    <w:qFormat/>
    <w:rPr>
      <w:rFonts w:cs="Wingdings"/>
    </w:rPr>
  </w:style>
  <w:style w:type="character" w:styleId="ListLabel2238">
    <w:name w:val="ListLabel 2238"/>
    <w:qFormat/>
    <w:rPr>
      <w:rFonts w:cs="Symbol"/>
    </w:rPr>
  </w:style>
  <w:style w:type="character" w:styleId="ListLabel2239">
    <w:name w:val="ListLabel 2239"/>
    <w:qFormat/>
    <w:rPr>
      <w:rFonts w:cs="Courier New"/>
    </w:rPr>
  </w:style>
  <w:style w:type="character" w:styleId="ListLabel2240">
    <w:name w:val="ListLabel 2240"/>
    <w:qFormat/>
    <w:rPr>
      <w:rFonts w:cs="Wingdings"/>
    </w:rPr>
  </w:style>
  <w:style w:type="character" w:styleId="ListLabel2241">
    <w:name w:val="ListLabel 2241"/>
    <w:qFormat/>
    <w:rPr>
      <w:rFonts w:cs="Symbol"/>
    </w:rPr>
  </w:style>
  <w:style w:type="character" w:styleId="ListLabel2242">
    <w:name w:val="ListLabel 2242"/>
    <w:qFormat/>
    <w:rPr>
      <w:rFonts w:cs="Symbol"/>
    </w:rPr>
  </w:style>
  <w:style w:type="character" w:styleId="ListLabel2243">
    <w:name w:val="ListLabel 2243"/>
    <w:qFormat/>
    <w:rPr>
      <w:rFonts w:cs="Courier New"/>
    </w:rPr>
  </w:style>
  <w:style w:type="character" w:styleId="ListLabel2244">
    <w:name w:val="ListLabel 2244"/>
    <w:qFormat/>
    <w:rPr>
      <w:rFonts w:cs="Symbol"/>
      <w:sz w:val="20"/>
    </w:rPr>
  </w:style>
  <w:style w:type="character" w:styleId="ListLabel2245">
    <w:name w:val="ListLabel 2245"/>
    <w:qFormat/>
    <w:rPr>
      <w:rFonts w:cs="Courier New"/>
    </w:rPr>
  </w:style>
  <w:style w:type="character" w:styleId="ListLabel2246">
    <w:name w:val="ListLabel 2246"/>
    <w:qFormat/>
    <w:rPr>
      <w:rFonts w:cs="Wingdings"/>
    </w:rPr>
  </w:style>
  <w:style w:type="character" w:styleId="ListLabel2247">
    <w:name w:val="ListLabel 2247"/>
    <w:qFormat/>
    <w:rPr>
      <w:rFonts w:cs="Symbol"/>
    </w:rPr>
  </w:style>
  <w:style w:type="character" w:styleId="ListLabel2248">
    <w:name w:val="ListLabel 2248"/>
    <w:qFormat/>
    <w:rPr>
      <w:rFonts w:cs="Courier New"/>
    </w:rPr>
  </w:style>
  <w:style w:type="character" w:styleId="ListLabel2249">
    <w:name w:val="ListLabel 2249"/>
    <w:qFormat/>
    <w:rPr>
      <w:rFonts w:cs="Wingdings"/>
    </w:rPr>
  </w:style>
  <w:style w:type="character" w:styleId="ListLabel2250">
    <w:name w:val="ListLabel 2250"/>
    <w:qFormat/>
    <w:rPr>
      <w:rFonts w:cs="Symbol"/>
    </w:rPr>
  </w:style>
  <w:style w:type="character" w:styleId="ListLabel2251">
    <w:name w:val="ListLabel 2251"/>
    <w:qFormat/>
    <w:rPr>
      <w:rFonts w:cs="Courier New"/>
    </w:rPr>
  </w:style>
  <w:style w:type="character" w:styleId="ListLabel2252">
    <w:name w:val="ListLabel 2252"/>
    <w:qFormat/>
    <w:rPr>
      <w:rFonts w:cs="Wingdings"/>
    </w:rPr>
  </w:style>
  <w:style w:type="character" w:styleId="ListLabel2253">
    <w:name w:val="ListLabel 2253"/>
    <w:qFormat/>
    <w:rPr>
      <w:rFonts w:cs="Symbol"/>
      <w:sz w:val="22"/>
    </w:rPr>
  </w:style>
  <w:style w:type="character" w:styleId="ListLabel2254">
    <w:name w:val="ListLabel 2254"/>
    <w:qFormat/>
    <w:rPr>
      <w:rFonts w:cs="Courier New"/>
    </w:rPr>
  </w:style>
  <w:style w:type="character" w:styleId="ListLabel2255">
    <w:name w:val="ListLabel 2255"/>
    <w:qFormat/>
    <w:rPr>
      <w:rFonts w:cs="Wingdings"/>
    </w:rPr>
  </w:style>
  <w:style w:type="character" w:styleId="ListLabel2256">
    <w:name w:val="ListLabel 2256"/>
    <w:qFormat/>
    <w:rPr>
      <w:rFonts w:cs="Symbol"/>
    </w:rPr>
  </w:style>
  <w:style w:type="character" w:styleId="ListLabel2257">
    <w:name w:val="ListLabel 2257"/>
    <w:qFormat/>
    <w:rPr>
      <w:rFonts w:cs="Courier New"/>
    </w:rPr>
  </w:style>
  <w:style w:type="character" w:styleId="ListLabel2258">
    <w:name w:val="ListLabel 2258"/>
    <w:qFormat/>
    <w:rPr>
      <w:rFonts w:cs="Wingdings"/>
    </w:rPr>
  </w:style>
  <w:style w:type="character" w:styleId="ListLabel2259">
    <w:name w:val="ListLabel 2259"/>
    <w:qFormat/>
    <w:rPr>
      <w:rFonts w:cs="Symbol"/>
    </w:rPr>
  </w:style>
  <w:style w:type="character" w:styleId="ListLabel2260">
    <w:name w:val="ListLabel 2260"/>
    <w:qFormat/>
    <w:rPr>
      <w:rFonts w:cs="Courier New"/>
    </w:rPr>
  </w:style>
  <w:style w:type="character" w:styleId="ListLabel2261">
    <w:name w:val="ListLabel 2261"/>
    <w:qFormat/>
    <w:rPr>
      <w:rFonts w:cs="Wingdings"/>
    </w:rPr>
  </w:style>
  <w:style w:type="character" w:styleId="ListLabel2262">
    <w:name w:val="ListLabel 2262"/>
    <w:qFormat/>
    <w:rPr>
      <w:rFonts w:cs="OpenSymbol"/>
      <w:sz w:val="22"/>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cs="OpenSymbol"/>
    </w:rPr>
  </w:style>
  <w:style w:type="character" w:styleId="ListLabel2268">
    <w:name w:val="ListLabel 2268"/>
    <w:qFormat/>
    <w:rPr>
      <w:rFonts w:cs="OpenSymbol"/>
    </w:rPr>
  </w:style>
  <w:style w:type="character" w:styleId="ListLabel2269">
    <w:name w:val="ListLabel 2269"/>
    <w:qFormat/>
    <w:rPr>
      <w:rFonts w:cs="OpenSymbol"/>
    </w:rPr>
  </w:style>
  <w:style w:type="character" w:styleId="ListLabel2270">
    <w:name w:val="ListLabel 2270"/>
    <w:qFormat/>
    <w:rPr>
      <w:rFonts w:cs="OpenSymbol"/>
    </w:rPr>
  </w:style>
  <w:style w:type="character" w:styleId="ListLabel2271">
    <w:name w:val="ListLabel 2271"/>
    <w:qFormat/>
    <w:rPr>
      <w:b/>
    </w:rPr>
  </w:style>
  <w:style w:type="character" w:styleId="ListLabel2272">
    <w:name w:val="ListLabel 2272"/>
    <w:qFormat/>
    <w:rPr>
      <w:i w:val="false"/>
    </w:rPr>
  </w:style>
  <w:style w:type="character" w:styleId="ListLabel2273">
    <w:name w:val="ListLabel 2273"/>
    <w:qFormat/>
    <w:rPr>
      <w:rFonts w:cs="Symbol"/>
      <w:sz w:val="22"/>
    </w:rPr>
  </w:style>
  <w:style w:type="character" w:styleId="ListLabel2274">
    <w:name w:val="ListLabel 2274"/>
    <w:qFormat/>
    <w:rPr>
      <w:rFonts w:cs="Courier New"/>
    </w:rPr>
  </w:style>
  <w:style w:type="character" w:styleId="ListLabel2275">
    <w:name w:val="ListLabel 2275"/>
    <w:qFormat/>
    <w:rPr>
      <w:rFonts w:cs="Wingdings"/>
    </w:rPr>
  </w:style>
  <w:style w:type="character" w:styleId="ListLabel2276">
    <w:name w:val="ListLabel 2276"/>
    <w:qFormat/>
    <w:rPr>
      <w:rFonts w:cs="Symbol"/>
    </w:rPr>
  </w:style>
  <w:style w:type="character" w:styleId="ListLabel2277">
    <w:name w:val="ListLabel 2277"/>
    <w:qFormat/>
    <w:rPr>
      <w:rFonts w:cs="Courier New"/>
    </w:rPr>
  </w:style>
  <w:style w:type="character" w:styleId="ListLabel2278">
    <w:name w:val="ListLabel 2278"/>
    <w:qFormat/>
    <w:rPr>
      <w:rFonts w:cs="Wingdings"/>
    </w:rPr>
  </w:style>
  <w:style w:type="character" w:styleId="ListLabel2279">
    <w:name w:val="ListLabel 2279"/>
    <w:qFormat/>
    <w:rPr>
      <w:rFonts w:cs="Symbol"/>
    </w:rPr>
  </w:style>
  <w:style w:type="character" w:styleId="ListLabel2280">
    <w:name w:val="ListLabel 2280"/>
    <w:qFormat/>
    <w:rPr>
      <w:rFonts w:cs="Courier New"/>
    </w:rPr>
  </w:style>
  <w:style w:type="character" w:styleId="ListLabel2281">
    <w:name w:val="ListLabel 2281"/>
    <w:qFormat/>
    <w:rPr>
      <w:rFonts w:cs="Wingdings"/>
    </w:rPr>
  </w:style>
  <w:style w:type="character" w:styleId="ListLabel2282">
    <w:name w:val="ListLabel 2282"/>
    <w:qFormat/>
    <w:rPr>
      <w:rFonts w:cs="OpenSymbol"/>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cs="OpenSymbol"/>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rPr>
  </w:style>
  <w:style w:type="character" w:styleId="ListLabel2293">
    <w:name w:val="ListLabel 2293"/>
    <w:qFormat/>
    <w:rPr>
      <w:rFonts w:cs="OpenSymbol"/>
    </w:rPr>
  </w:style>
  <w:style w:type="character" w:styleId="ListLabel2294">
    <w:name w:val="ListLabel 2294"/>
    <w:qFormat/>
    <w:rPr>
      <w:rFonts w:cs="OpenSymbol"/>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Symbol"/>
    </w:rPr>
  </w:style>
  <w:style w:type="character" w:styleId="ListLabel2301">
    <w:name w:val="ListLabel 2301"/>
    <w:qFormat/>
    <w:rPr>
      <w:rFonts w:cs="Courier New"/>
    </w:rPr>
  </w:style>
  <w:style w:type="character" w:styleId="ListLabel2302">
    <w:name w:val="ListLabel 2302"/>
    <w:qFormat/>
    <w:rPr>
      <w:rFonts w:cs="Wingdings"/>
    </w:rPr>
  </w:style>
  <w:style w:type="character" w:styleId="ListLabel2303">
    <w:name w:val="ListLabel 2303"/>
    <w:qFormat/>
    <w:rPr>
      <w:rFonts w:cs="Symbol"/>
    </w:rPr>
  </w:style>
  <w:style w:type="character" w:styleId="ListLabel2304">
    <w:name w:val="ListLabel 2304"/>
    <w:qFormat/>
    <w:rPr>
      <w:rFonts w:cs="Courier New"/>
    </w:rPr>
  </w:style>
  <w:style w:type="character" w:styleId="ListLabel2305">
    <w:name w:val="ListLabel 2305"/>
    <w:qFormat/>
    <w:rPr>
      <w:rFonts w:cs="Wingdings"/>
    </w:rPr>
  </w:style>
  <w:style w:type="character" w:styleId="ListLabel2306">
    <w:name w:val="ListLabel 2306"/>
    <w:qFormat/>
    <w:rPr>
      <w:rFonts w:cs="Symbol"/>
    </w:rPr>
  </w:style>
  <w:style w:type="character" w:styleId="ListLabel2307">
    <w:name w:val="ListLabel 2307"/>
    <w:qFormat/>
    <w:rPr>
      <w:rFonts w:cs="Courier New"/>
    </w:rPr>
  </w:style>
  <w:style w:type="character" w:styleId="ListLabel2308">
    <w:name w:val="ListLabel 2308"/>
    <w:qFormat/>
    <w:rPr>
      <w:rFonts w:cs="Wingdings"/>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cs="OpenSymbol"/>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cs="OpenSymbol"/>
    </w:rPr>
  </w:style>
  <w:style w:type="character" w:styleId="ListLabel2341">
    <w:name w:val="ListLabel 2341"/>
    <w:qFormat/>
    <w:rPr>
      <w:rFonts w:cs="OpenSymbol"/>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rPr>
  </w:style>
  <w:style w:type="character" w:styleId="ListLabel2365">
    <w:name w:val="ListLabel 2365"/>
    <w:qFormat/>
    <w:rPr>
      <w:rFonts w:cs="OpenSymbol"/>
    </w:rPr>
  </w:style>
  <w:style w:type="character" w:styleId="ListLabel2366">
    <w:name w:val="ListLabel 2366"/>
    <w:qFormat/>
    <w:rPr>
      <w:rFonts w:cs="OpenSymbol"/>
    </w:rPr>
  </w:style>
  <w:style w:type="character" w:styleId="ListLabel2367">
    <w:name w:val="ListLabel 2367"/>
    <w:qFormat/>
    <w:rPr>
      <w:rFonts w:cs="OpenSymbol"/>
    </w:rPr>
  </w:style>
  <w:style w:type="character" w:styleId="ListLabel2368">
    <w:name w:val="ListLabel 2368"/>
    <w:qFormat/>
    <w:rPr>
      <w:rFonts w:cs="OpenSymbol"/>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OpenSymbol"/>
    </w:rPr>
  </w:style>
  <w:style w:type="character" w:styleId="ListLabel2374">
    <w:name w:val="ListLabel 2374"/>
    <w:qFormat/>
    <w:rPr>
      <w:rFonts w:cs="OpenSymbol"/>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cs="OpenSymbol"/>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eastAsia="Calibri"/>
    </w:rPr>
  </w:style>
  <w:style w:type="character" w:styleId="ListLabel2382">
    <w:name w:val="ListLabel 2382"/>
    <w:qFormat/>
    <w:rPr/>
  </w:style>
  <w:style w:type="character" w:styleId="ListLabel2383">
    <w:name w:val="ListLabel 2383"/>
    <w:qFormat/>
    <w:rPr/>
  </w:style>
  <w:style w:type="character" w:styleId="ListLabel2384">
    <w:name w:val="ListLabel 2384"/>
    <w:qFormat/>
    <w:rPr/>
  </w:style>
  <w:style w:type="character" w:styleId="ListLabel2385">
    <w:name w:val="ListLabel 2385"/>
    <w:qFormat/>
    <w:rPr/>
  </w:style>
  <w:style w:type="character" w:styleId="ListLabel2386">
    <w:name w:val="ListLabel 2386"/>
    <w:qFormat/>
    <w:rPr/>
  </w:style>
  <w:style w:type="character" w:styleId="ListLabel2387">
    <w:name w:val="ListLabel 2387"/>
    <w:qFormat/>
    <w:rPr>
      <w:rFonts w:eastAsia="Calibri"/>
    </w:rPr>
  </w:style>
  <w:style w:type="character" w:styleId="ListLabel2388">
    <w:name w:val="ListLabel 2388"/>
    <w:qFormat/>
    <w:rPr>
      <w:rFonts w:eastAsia="Calibri"/>
    </w:rPr>
  </w:style>
  <w:style w:type="character" w:styleId="ListLabel2389">
    <w:name w:val="ListLabel 2389"/>
    <w:qFormat/>
    <w:rPr/>
  </w:style>
  <w:style w:type="character" w:styleId="ListLabel2390">
    <w:name w:val="ListLabel 2390"/>
    <w:qFormat/>
    <w:rPr/>
  </w:style>
  <w:style w:type="character" w:styleId="ListLabel2391">
    <w:name w:val="ListLabel 2391"/>
    <w:qFormat/>
    <w:rPr/>
  </w:style>
  <w:style w:type="character" w:styleId="ListLabel2392">
    <w:name w:val="ListLabel 2392"/>
    <w:qFormat/>
    <w:rPr>
      <w:b/>
      <w:bCs/>
      <w:i/>
      <w:sz w:val="28"/>
      <w:szCs w:val="28"/>
    </w:rPr>
  </w:style>
  <w:style w:type="character" w:styleId="ListLabel2393">
    <w:name w:val="ListLabel 2393"/>
    <w:qFormat/>
    <w:rPr/>
  </w:style>
  <w:style w:type="character" w:styleId="ListLabel2394">
    <w:name w:val="ListLabel 2394"/>
    <w:qFormat/>
    <w:rPr>
      <w:b w:val="false"/>
      <w:bCs w:val="false"/>
    </w:rPr>
  </w:style>
  <w:style w:type="character" w:styleId="Funotenzeichen">
    <w:name w:val="Fußnotenzeichen"/>
    <w:qFormat/>
    <w:rPr/>
  </w:style>
  <w:style w:type="character" w:styleId="Endnotenzeichen">
    <w:name w:val="Endnotenzeichen"/>
    <w:qFormat/>
    <w:rPr/>
  </w:style>
  <w:style w:type="character" w:styleId="ListLabel2395">
    <w:name w:val="ListLabel 2395"/>
    <w:qFormat/>
    <w:rPr>
      <w:rFonts w:cs="Symbol"/>
    </w:rPr>
  </w:style>
  <w:style w:type="character" w:styleId="ListLabel2396">
    <w:name w:val="ListLabel 2396"/>
    <w:qFormat/>
    <w:rPr>
      <w:rFonts w:cs="Courier New"/>
    </w:rPr>
  </w:style>
  <w:style w:type="character" w:styleId="ListLabel2397">
    <w:name w:val="ListLabel 2397"/>
    <w:qFormat/>
    <w:rPr>
      <w:rFonts w:cs="Wingdings"/>
    </w:rPr>
  </w:style>
  <w:style w:type="character" w:styleId="ListLabel2398">
    <w:name w:val="ListLabel 2398"/>
    <w:qFormat/>
    <w:rPr>
      <w:rFonts w:cs="Symbol"/>
    </w:rPr>
  </w:style>
  <w:style w:type="character" w:styleId="ListLabel2399">
    <w:name w:val="ListLabel 2399"/>
    <w:qFormat/>
    <w:rPr>
      <w:rFonts w:cs="Courier New"/>
    </w:rPr>
  </w:style>
  <w:style w:type="character" w:styleId="ListLabel2400">
    <w:name w:val="ListLabel 2400"/>
    <w:qFormat/>
    <w:rPr>
      <w:rFonts w:cs="Wingdings"/>
    </w:rPr>
  </w:style>
  <w:style w:type="character" w:styleId="ListLabel2401">
    <w:name w:val="ListLabel 2401"/>
    <w:qFormat/>
    <w:rPr>
      <w:rFonts w:cs="Symbol"/>
    </w:rPr>
  </w:style>
  <w:style w:type="character" w:styleId="ListLabel2402">
    <w:name w:val="ListLabel 2402"/>
    <w:qFormat/>
    <w:rPr>
      <w:rFonts w:cs="Courier New"/>
    </w:rPr>
  </w:style>
  <w:style w:type="character" w:styleId="ListLabel2403">
    <w:name w:val="ListLabel 2403"/>
    <w:qFormat/>
    <w:rPr>
      <w:rFonts w:cs="Wingdings"/>
    </w:rPr>
  </w:style>
  <w:style w:type="character" w:styleId="ListLabel2404">
    <w:name w:val="ListLabel 2404"/>
    <w:qFormat/>
    <w:rPr>
      <w:rFonts w:cs="Symbol"/>
      <w:sz w:val="20"/>
    </w:rPr>
  </w:style>
  <w:style w:type="character" w:styleId="ListLabel2405">
    <w:name w:val="ListLabel 2405"/>
    <w:qFormat/>
    <w:rPr>
      <w:rFonts w:cs="Symbol"/>
    </w:rPr>
  </w:style>
  <w:style w:type="character" w:styleId="ListLabel2406">
    <w:name w:val="ListLabel 2406"/>
    <w:qFormat/>
    <w:rPr>
      <w:rFonts w:cs="Courier New"/>
    </w:rPr>
  </w:style>
  <w:style w:type="character" w:styleId="ListLabel2407">
    <w:name w:val="ListLabel 2407"/>
    <w:qFormat/>
    <w:rPr>
      <w:rFonts w:cs="Symbol"/>
      <w:sz w:val="22"/>
    </w:rPr>
  </w:style>
  <w:style w:type="character" w:styleId="ListLabel2408">
    <w:name w:val="ListLabel 2408"/>
    <w:qFormat/>
    <w:rPr>
      <w:rFonts w:cs="Courier New"/>
    </w:rPr>
  </w:style>
  <w:style w:type="character" w:styleId="ListLabel2409">
    <w:name w:val="ListLabel 2409"/>
    <w:qFormat/>
    <w:rPr>
      <w:rFonts w:cs="Wingdings"/>
    </w:rPr>
  </w:style>
  <w:style w:type="character" w:styleId="ListLabel2410">
    <w:name w:val="ListLabel 2410"/>
    <w:qFormat/>
    <w:rPr>
      <w:rFonts w:cs="Symbol"/>
    </w:rPr>
  </w:style>
  <w:style w:type="character" w:styleId="ListLabel2411">
    <w:name w:val="ListLabel 2411"/>
    <w:qFormat/>
    <w:rPr>
      <w:rFonts w:cs="Courier New"/>
    </w:rPr>
  </w:style>
  <w:style w:type="character" w:styleId="ListLabel2412">
    <w:name w:val="ListLabel 2412"/>
    <w:qFormat/>
    <w:rPr>
      <w:rFonts w:cs="Wingdings"/>
    </w:rPr>
  </w:style>
  <w:style w:type="character" w:styleId="ListLabel2413">
    <w:name w:val="ListLabel 2413"/>
    <w:qFormat/>
    <w:rPr>
      <w:rFonts w:cs="Symbol"/>
    </w:rPr>
  </w:style>
  <w:style w:type="character" w:styleId="ListLabel2414">
    <w:name w:val="ListLabel 2414"/>
    <w:qFormat/>
    <w:rPr>
      <w:rFonts w:cs="Courier New"/>
    </w:rPr>
  </w:style>
  <w:style w:type="character" w:styleId="ListLabel2415">
    <w:name w:val="ListLabel 2415"/>
    <w:qFormat/>
    <w:rPr>
      <w:rFonts w:cs="Wingdings"/>
    </w:rPr>
  </w:style>
  <w:style w:type="character" w:styleId="ListLabel2416">
    <w:name w:val="ListLabel 2416"/>
    <w:qFormat/>
    <w:rPr>
      <w:rFonts w:cs="OpenSymbol"/>
      <w:sz w:val="22"/>
    </w:rPr>
  </w:style>
  <w:style w:type="character" w:styleId="ListLabel2417">
    <w:name w:val="ListLabel 2417"/>
    <w:qFormat/>
    <w:rPr>
      <w:rFonts w:cs="OpenSymbol"/>
    </w:rPr>
  </w:style>
  <w:style w:type="character" w:styleId="ListLabel2418">
    <w:name w:val="ListLabel 2418"/>
    <w:qFormat/>
    <w:rPr>
      <w:rFonts w:cs="OpenSymbol"/>
    </w:rPr>
  </w:style>
  <w:style w:type="character" w:styleId="ListLabel2419">
    <w:name w:val="ListLabel 2419"/>
    <w:qFormat/>
    <w:rPr>
      <w:rFonts w:cs="OpenSymbol"/>
    </w:rPr>
  </w:style>
  <w:style w:type="character" w:styleId="ListLabel2420">
    <w:name w:val="ListLabel 2420"/>
    <w:qFormat/>
    <w:rPr>
      <w:rFonts w:cs="OpenSymbol"/>
    </w:rPr>
  </w:style>
  <w:style w:type="character" w:styleId="ListLabel2421">
    <w:name w:val="ListLabel 2421"/>
    <w:qFormat/>
    <w:rPr>
      <w:rFonts w:cs="OpenSymbol"/>
    </w:rPr>
  </w:style>
  <w:style w:type="character" w:styleId="ListLabel2422">
    <w:name w:val="ListLabel 2422"/>
    <w:qFormat/>
    <w:rPr>
      <w:rFonts w:cs="OpenSymbol"/>
    </w:rPr>
  </w:style>
  <w:style w:type="character" w:styleId="ListLabel2423">
    <w:name w:val="ListLabel 2423"/>
    <w:qFormat/>
    <w:rPr>
      <w:rFonts w:cs="OpenSymbol"/>
    </w:rPr>
  </w:style>
  <w:style w:type="character" w:styleId="ListLabel2424">
    <w:name w:val="ListLabel 2424"/>
    <w:qFormat/>
    <w:rPr>
      <w:rFonts w:cs="OpenSymbol"/>
    </w:rPr>
  </w:style>
  <w:style w:type="character" w:styleId="ListLabel2425">
    <w:name w:val="ListLabel 2425"/>
    <w:qFormat/>
    <w:rPr>
      <w:rFonts w:cs="OpenSymbol"/>
      <w:sz w:val="22"/>
    </w:rPr>
  </w:style>
  <w:style w:type="character" w:styleId="ListLabel2426">
    <w:name w:val="ListLabel 2426"/>
    <w:qFormat/>
    <w:rPr>
      <w:rFonts w:cs="OpenSymbol"/>
    </w:rPr>
  </w:style>
  <w:style w:type="character" w:styleId="ListLabel2427">
    <w:name w:val="ListLabel 2427"/>
    <w:qFormat/>
    <w:rPr>
      <w:rFonts w:cs="OpenSymbol"/>
    </w:rPr>
  </w:style>
  <w:style w:type="character" w:styleId="ListLabel2428">
    <w:name w:val="ListLabel 2428"/>
    <w:qFormat/>
    <w:rPr>
      <w:rFonts w:cs="OpenSymbol"/>
    </w:rPr>
  </w:style>
  <w:style w:type="character" w:styleId="ListLabel2429">
    <w:name w:val="ListLabel 2429"/>
    <w:qFormat/>
    <w:rPr>
      <w:rFonts w:cs="OpenSymbol"/>
    </w:rPr>
  </w:style>
  <w:style w:type="character" w:styleId="ListLabel2430">
    <w:name w:val="ListLabel 2430"/>
    <w:qFormat/>
    <w:rPr>
      <w:rFonts w:cs="OpenSymbol"/>
    </w:rPr>
  </w:style>
  <w:style w:type="character" w:styleId="ListLabel2431">
    <w:name w:val="ListLabel 2431"/>
    <w:qFormat/>
    <w:rPr>
      <w:rFonts w:cs="OpenSymbol"/>
    </w:rPr>
  </w:style>
  <w:style w:type="character" w:styleId="ListLabel2432">
    <w:name w:val="ListLabel 2432"/>
    <w:qFormat/>
    <w:rPr>
      <w:rFonts w:cs="OpenSymbol"/>
    </w:rPr>
  </w:style>
  <w:style w:type="character" w:styleId="ListLabel2433">
    <w:name w:val="ListLabel 2433"/>
    <w:qFormat/>
    <w:rPr>
      <w:rFonts w:cs="OpenSymbol"/>
    </w:rPr>
  </w:style>
  <w:style w:type="character" w:styleId="ListLabel2434">
    <w:name w:val="ListLabel 2434"/>
    <w:qFormat/>
    <w:rPr>
      <w:rFonts w:cs="OpenSymbol"/>
    </w:rPr>
  </w:style>
  <w:style w:type="character" w:styleId="ListLabel2435">
    <w:name w:val="ListLabel 2435"/>
    <w:qFormat/>
    <w:rPr>
      <w:rFonts w:cs="OpenSymbol"/>
    </w:rPr>
  </w:style>
  <w:style w:type="character" w:styleId="ListLabel2436">
    <w:name w:val="ListLabel 2436"/>
    <w:qFormat/>
    <w:rPr>
      <w:rFonts w:cs="OpenSymbol"/>
    </w:rPr>
  </w:style>
  <w:style w:type="character" w:styleId="ListLabel2437">
    <w:name w:val="ListLabel 2437"/>
    <w:qFormat/>
    <w:rPr>
      <w:rFonts w:cs="OpenSymbol"/>
    </w:rPr>
  </w:style>
  <w:style w:type="character" w:styleId="ListLabel2438">
    <w:name w:val="ListLabel 2438"/>
    <w:qFormat/>
    <w:rPr>
      <w:rFonts w:cs="OpenSymbol"/>
    </w:rPr>
  </w:style>
  <w:style w:type="character" w:styleId="ListLabel2439">
    <w:name w:val="ListLabel 2439"/>
    <w:qFormat/>
    <w:rPr>
      <w:rFonts w:cs="OpenSymbol"/>
    </w:rPr>
  </w:style>
  <w:style w:type="character" w:styleId="ListLabel2440">
    <w:name w:val="ListLabel 2440"/>
    <w:qFormat/>
    <w:rPr>
      <w:rFonts w:cs="OpenSymbol"/>
    </w:rPr>
  </w:style>
  <w:style w:type="character" w:styleId="ListLabel2441">
    <w:name w:val="ListLabel 2441"/>
    <w:qFormat/>
    <w:rPr>
      <w:rFonts w:cs="OpenSymbol"/>
    </w:rPr>
  </w:style>
  <w:style w:type="character" w:styleId="ListLabel2442">
    <w:name w:val="ListLabel 2442"/>
    <w:qFormat/>
    <w:rPr>
      <w:rFonts w:cs="Symbol"/>
    </w:rPr>
  </w:style>
  <w:style w:type="character" w:styleId="ListLabel2443">
    <w:name w:val="ListLabel 2443"/>
    <w:qFormat/>
    <w:rPr>
      <w:rFonts w:cs="Courier New"/>
    </w:rPr>
  </w:style>
  <w:style w:type="character" w:styleId="ListLabel2444">
    <w:name w:val="ListLabel 2444"/>
    <w:qFormat/>
    <w:rPr>
      <w:rFonts w:cs="Wingdings"/>
    </w:rPr>
  </w:style>
  <w:style w:type="character" w:styleId="ListLabel2445">
    <w:name w:val="ListLabel 2445"/>
    <w:qFormat/>
    <w:rPr>
      <w:rFonts w:cs="Symbol"/>
    </w:rPr>
  </w:style>
  <w:style w:type="character" w:styleId="ListLabel2446">
    <w:name w:val="ListLabel 2446"/>
    <w:qFormat/>
    <w:rPr>
      <w:rFonts w:cs="Courier New"/>
    </w:rPr>
  </w:style>
  <w:style w:type="character" w:styleId="ListLabel2447">
    <w:name w:val="ListLabel 2447"/>
    <w:qFormat/>
    <w:rPr>
      <w:rFonts w:cs="Wingdings"/>
    </w:rPr>
  </w:style>
  <w:style w:type="character" w:styleId="ListLabel2448">
    <w:name w:val="ListLabel 2448"/>
    <w:qFormat/>
    <w:rPr>
      <w:rFonts w:cs="Symbol"/>
    </w:rPr>
  </w:style>
  <w:style w:type="character" w:styleId="ListLabel2449">
    <w:name w:val="ListLabel 2449"/>
    <w:qFormat/>
    <w:rPr>
      <w:rFonts w:cs="Courier New"/>
    </w:rPr>
  </w:style>
  <w:style w:type="character" w:styleId="ListLabel2450">
    <w:name w:val="ListLabel 2450"/>
    <w:qFormat/>
    <w:rPr>
      <w:rFonts w:cs="Wingdings"/>
    </w:rPr>
  </w:style>
  <w:style w:type="character" w:styleId="ListLabel2451">
    <w:name w:val="ListLabel 2451"/>
    <w:qFormat/>
    <w:rPr>
      <w:rFonts w:cs="Symbol"/>
    </w:rPr>
  </w:style>
  <w:style w:type="character" w:styleId="ListLabel2452">
    <w:name w:val="ListLabel 2452"/>
    <w:qFormat/>
    <w:rPr>
      <w:rFonts w:cs="Symbol"/>
    </w:rPr>
  </w:style>
  <w:style w:type="character" w:styleId="ListLabel2453">
    <w:name w:val="ListLabel 2453"/>
    <w:qFormat/>
    <w:rPr>
      <w:rFonts w:cs="Wingdings"/>
    </w:rPr>
  </w:style>
  <w:style w:type="character" w:styleId="ListLabel2454">
    <w:name w:val="ListLabel 2454"/>
    <w:qFormat/>
    <w:rPr>
      <w:rFonts w:cs="Symbol"/>
    </w:rPr>
  </w:style>
  <w:style w:type="character" w:styleId="ListLabel2455">
    <w:name w:val="ListLabel 2455"/>
    <w:qFormat/>
    <w:rPr>
      <w:rFonts w:cs="Courier New"/>
    </w:rPr>
  </w:style>
  <w:style w:type="character" w:styleId="ListLabel2456">
    <w:name w:val="ListLabel 2456"/>
    <w:qFormat/>
    <w:rPr>
      <w:rFonts w:cs="Wingdings"/>
    </w:rPr>
  </w:style>
  <w:style w:type="character" w:styleId="ListLabel2457">
    <w:name w:val="ListLabel 2457"/>
    <w:qFormat/>
    <w:rPr>
      <w:rFonts w:cs="Symbol"/>
    </w:rPr>
  </w:style>
  <w:style w:type="character" w:styleId="ListLabel2458">
    <w:name w:val="ListLabel 2458"/>
    <w:qFormat/>
    <w:rPr>
      <w:rFonts w:cs="Courier New"/>
    </w:rPr>
  </w:style>
  <w:style w:type="character" w:styleId="ListLabel2459">
    <w:name w:val="ListLabel 2459"/>
    <w:qFormat/>
    <w:rPr>
      <w:rFonts w:cs="Wingdings"/>
    </w:rPr>
  </w:style>
  <w:style w:type="character" w:styleId="ListLabel2460">
    <w:name w:val="ListLabel 2460"/>
    <w:qFormat/>
    <w:rPr>
      <w:rFonts w:cs="Symbol"/>
    </w:rPr>
  </w:style>
  <w:style w:type="character" w:styleId="ListLabel2461">
    <w:name w:val="ListLabel 2461"/>
    <w:qFormat/>
    <w:rPr>
      <w:rFonts w:cs="Symbol"/>
    </w:rPr>
  </w:style>
  <w:style w:type="character" w:styleId="ListLabel2462">
    <w:name w:val="ListLabel 2462"/>
    <w:qFormat/>
    <w:rPr>
      <w:rFonts w:cs="Courier New"/>
    </w:rPr>
  </w:style>
  <w:style w:type="character" w:styleId="ListLabel2463">
    <w:name w:val="ListLabel 2463"/>
    <w:qFormat/>
    <w:rPr>
      <w:rFonts w:cs="Symbol"/>
      <w:sz w:val="20"/>
    </w:rPr>
  </w:style>
  <w:style w:type="character" w:styleId="ListLabel2464">
    <w:name w:val="ListLabel 2464"/>
    <w:qFormat/>
    <w:rPr>
      <w:rFonts w:cs="Courier New"/>
    </w:rPr>
  </w:style>
  <w:style w:type="character" w:styleId="ListLabel2465">
    <w:name w:val="ListLabel 2465"/>
    <w:qFormat/>
    <w:rPr>
      <w:rFonts w:cs="Wingdings"/>
    </w:rPr>
  </w:style>
  <w:style w:type="character" w:styleId="ListLabel2466">
    <w:name w:val="ListLabel 2466"/>
    <w:qFormat/>
    <w:rPr>
      <w:rFonts w:cs="Symbol"/>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cs="Symbol"/>
      <w:sz w:val="22"/>
    </w:rPr>
  </w:style>
  <w:style w:type="character" w:styleId="ListLabel2473">
    <w:name w:val="ListLabel 2473"/>
    <w:qFormat/>
    <w:rPr>
      <w:rFonts w:cs="Courier New"/>
    </w:rPr>
  </w:style>
  <w:style w:type="character" w:styleId="ListLabel2474">
    <w:name w:val="ListLabel 2474"/>
    <w:qFormat/>
    <w:rPr>
      <w:rFonts w:cs="Wingdings"/>
    </w:rPr>
  </w:style>
  <w:style w:type="character" w:styleId="ListLabel2475">
    <w:name w:val="ListLabel 2475"/>
    <w:qFormat/>
    <w:rPr>
      <w:rFonts w:cs="Symbol"/>
    </w:rPr>
  </w:style>
  <w:style w:type="character" w:styleId="ListLabel2476">
    <w:name w:val="ListLabel 2476"/>
    <w:qFormat/>
    <w:rPr>
      <w:rFonts w:cs="Courier New"/>
    </w:rPr>
  </w:style>
  <w:style w:type="character" w:styleId="ListLabel2477">
    <w:name w:val="ListLabel 2477"/>
    <w:qFormat/>
    <w:rPr>
      <w:rFonts w:cs="Wingdings"/>
    </w:rPr>
  </w:style>
  <w:style w:type="character" w:styleId="ListLabel2478">
    <w:name w:val="ListLabel 2478"/>
    <w:qFormat/>
    <w:rPr>
      <w:rFonts w:cs="Symbol"/>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cs="OpenSymbol"/>
      <w:sz w:val="22"/>
    </w:rPr>
  </w:style>
  <w:style w:type="character" w:styleId="ListLabel2482">
    <w:name w:val="ListLabel 2482"/>
    <w:qFormat/>
    <w:rPr>
      <w:rFonts w:cs="OpenSymbol"/>
    </w:rPr>
  </w:style>
  <w:style w:type="character" w:styleId="ListLabel2483">
    <w:name w:val="ListLabel 2483"/>
    <w:qFormat/>
    <w:rPr>
      <w:rFonts w:cs="OpenSymbol"/>
    </w:rPr>
  </w:style>
  <w:style w:type="character" w:styleId="ListLabel2484">
    <w:name w:val="ListLabel 2484"/>
    <w:qFormat/>
    <w:rPr>
      <w:rFonts w:cs="OpenSymbol"/>
    </w:rPr>
  </w:style>
  <w:style w:type="character" w:styleId="ListLabel2485">
    <w:name w:val="ListLabel 2485"/>
    <w:qFormat/>
    <w:rPr>
      <w:rFonts w:cs="OpenSymbol"/>
    </w:rPr>
  </w:style>
  <w:style w:type="character" w:styleId="ListLabel2486">
    <w:name w:val="ListLabel 2486"/>
    <w:qFormat/>
    <w:rPr>
      <w:rFonts w:cs="OpenSymbol"/>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OpenSymbol"/>
    </w:rPr>
  </w:style>
  <w:style w:type="character" w:styleId="ListLabel2490">
    <w:name w:val="ListLabel 2490"/>
    <w:qFormat/>
    <w:rPr>
      <w:b/>
    </w:rPr>
  </w:style>
  <w:style w:type="character" w:styleId="ListLabel2491">
    <w:name w:val="ListLabel 2491"/>
    <w:qFormat/>
    <w:rPr>
      <w:i w:val="false"/>
    </w:rPr>
  </w:style>
  <w:style w:type="character" w:styleId="ListLabel2492">
    <w:name w:val="ListLabel 2492"/>
    <w:qFormat/>
    <w:rPr>
      <w:rFonts w:cs="Symbol"/>
      <w:sz w:val="22"/>
    </w:rPr>
  </w:style>
  <w:style w:type="character" w:styleId="ListLabel2493">
    <w:name w:val="ListLabel 2493"/>
    <w:qFormat/>
    <w:rPr>
      <w:rFonts w:cs="Courier New"/>
    </w:rPr>
  </w:style>
  <w:style w:type="character" w:styleId="ListLabel2494">
    <w:name w:val="ListLabel 2494"/>
    <w:qFormat/>
    <w:rPr>
      <w:rFonts w:cs="Wingdings"/>
    </w:rPr>
  </w:style>
  <w:style w:type="character" w:styleId="ListLabel2495">
    <w:name w:val="ListLabel 2495"/>
    <w:qFormat/>
    <w:rPr>
      <w:rFonts w:cs="Symbol"/>
    </w:rPr>
  </w:style>
  <w:style w:type="character" w:styleId="ListLabel2496">
    <w:name w:val="ListLabel 2496"/>
    <w:qFormat/>
    <w:rPr>
      <w:rFonts w:cs="Courier New"/>
    </w:rPr>
  </w:style>
  <w:style w:type="character" w:styleId="ListLabel2497">
    <w:name w:val="ListLabel 2497"/>
    <w:qFormat/>
    <w:rPr>
      <w:rFonts w:cs="Wingdings"/>
    </w:rPr>
  </w:style>
  <w:style w:type="character" w:styleId="ListLabel2498">
    <w:name w:val="ListLabel 2498"/>
    <w:qFormat/>
    <w:rPr>
      <w:rFonts w:cs="Symbol"/>
    </w:rPr>
  </w:style>
  <w:style w:type="character" w:styleId="ListLabel2499">
    <w:name w:val="ListLabel 2499"/>
    <w:qFormat/>
    <w:rPr>
      <w:rFonts w:cs="Courier New"/>
    </w:rPr>
  </w:style>
  <w:style w:type="character" w:styleId="ListLabel2500">
    <w:name w:val="ListLabel 2500"/>
    <w:qFormat/>
    <w:rPr>
      <w:rFonts w:cs="Wingdings"/>
    </w:rPr>
  </w:style>
  <w:style w:type="character" w:styleId="ListLabel2501">
    <w:name w:val="ListLabel 2501"/>
    <w:qFormat/>
    <w:rPr>
      <w:rFonts w:cs="OpenSymbol"/>
    </w:rPr>
  </w:style>
  <w:style w:type="character" w:styleId="ListLabel2502">
    <w:name w:val="ListLabel 2502"/>
    <w:qFormat/>
    <w:rPr>
      <w:rFonts w:cs="OpenSymbol"/>
    </w:rPr>
  </w:style>
  <w:style w:type="character" w:styleId="ListLabel2503">
    <w:name w:val="ListLabel 2503"/>
    <w:qFormat/>
    <w:rPr>
      <w:rFonts w:cs="OpenSymbol"/>
    </w:rPr>
  </w:style>
  <w:style w:type="character" w:styleId="ListLabel2504">
    <w:name w:val="ListLabel 2504"/>
    <w:qFormat/>
    <w:rPr>
      <w:rFonts w:cs="OpenSymbol"/>
    </w:rPr>
  </w:style>
  <w:style w:type="character" w:styleId="ListLabel2505">
    <w:name w:val="ListLabel 2505"/>
    <w:qFormat/>
    <w:rPr>
      <w:rFonts w:cs="OpenSymbol"/>
    </w:rPr>
  </w:style>
  <w:style w:type="character" w:styleId="ListLabel2506">
    <w:name w:val="ListLabel 2506"/>
    <w:qFormat/>
    <w:rPr>
      <w:rFonts w:cs="OpenSymbol"/>
    </w:rPr>
  </w:style>
  <w:style w:type="character" w:styleId="ListLabel2507">
    <w:name w:val="ListLabel 2507"/>
    <w:qFormat/>
    <w:rPr>
      <w:rFonts w:cs="OpenSymbol"/>
    </w:rPr>
  </w:style>
  <w:style w:type="character" w:styleId="ListLabel2508">
    <w:name w:val="ListLabel 2508"/>
    <w:qFormat/>
    <w:rPr>
      <w:rFonts w:cs="OpenSymbol"/>
    </w:rPr>
  </w:style>
  <w:style w:type="character" w:styleId="ListLabel2509">
    <w:name w:val="ListLabel 2509"/>
    <w:qFormat/>
    <w:rPr>
      <w:rFonts w:cs="OpenSymbol"/>
    </w:rPr>
  </w:style>
  <w:style w:type="character" w:styleId="ListLabel2510">
    <w:name w:val="ListLabel 2510"/>
    <w:qFormat/>
    <w:rPr>
      <w:rFonts w:cs="OpenSymbol"/>
    </w:rPr>
  </w:style>
  <w:style w:type="character" w:styleId="ListLabel2511">
    <w:name w:val="ListLabel 2511"/>
    <w:qFormat/>
    <w:rPr>
      <w:rFonts w:cs="OpenSymbol"/>
    </w:rPr>
  </w:style>
  <w:style w:type="character" w:styleId="ListLabel2512">
    <w:name w:val="ListLabel 2512"/>
    <w:qFormat/>
    <w:rPr>
      <w:rFonts w:cs="OpenSymbol"/>
    </w:rPr>
  </w:style>
  <w:style w:type="character" w:styleId="ListLabel2513">
    <w:name w:val="ListLabel 2513"/>
    <w:qFormat/>
    <w:rPr>
      <w:rFonts w:cs="OpenSymbol"/>
    </w:rPr>
  </w:style>
  <w:style w:type="character" w:styleId="ListLabel2514">
    <w:name w:val="ListLabel 2514"/>
    <w:qFormat/>
    <w:rPr>
      <w:rFonts w:cs="OpenSymbol"/>
    </w:rPr>
  </w:style>
  <w:style w:type="character" w:styleId="ListLabel2515">
    <w:name w:val="ListLabel 2515"/>
    <w:qFormat/>
    <w:rPr>
      <w:rFonts w:cs="OpenSymbol"/>
    </w:rPr>
  </w:style>
  <w:style w:type="character" w:styleId="ListLabel2516">
    <w:name w:val="ListLabel 2516"/>
    <w:qFormat/>
    <w:rPr>
      <w:rFonts w:cs="OpenSymbol"/>
    </w:rPr>
  </w:style>
  <w:style w:type="character" w:styleId="ListLabel2517">
    <w:name w:val="ListLabel 2517"/>
    <w:qFormat/>
    <w:rPr>
      <w:rFonts w:cs="OpenSymbol"/>
    </w:rPr>
  </w:style>
  <w:style w:type="character" w:styleId="ListLabel2518">
    <w:name w:val="ListLabel 2518"/>
    <w:qFormat/>
    <w:rPr>
      <w:rFonts w:cs="OpenSymbol"/>
    </w:rPr>
  </w:style>
  <w:style w:type="character" w:styleId="ListLabel2519">
    <w:name w:val="ListLabel 2519"/>
    <w:qFormat/>
    <w:rPr>
      <w:rFonts w:ascii="Calibri" w:hAnsi="Calibri" w:cs="Symbol"/>
    </w:rPr>
  </w:style>
  <w:style w:type="character" w:styleId="ListLabel2520">
    <w:name w:val="ListLabel 2520"/>
    <w:qFormat/>
    <w:rPr>
      <w:rFonts w:cs="Courier New"/>
    </w:rPr>
  </w:style>
  <w:style w:type="character" w:styleId="ListLabel2521">
    <w:name w:val="ListLabel 2521"/>
    <w:qFormat/>
    <w:rPr>
      <w:rFonts w:cs="Wingdings"/>
    </w:rPr>
  </w:style>
  <w:style w:type="character" w:styleId="ListLabel2522">
    <w:name w:val="ListLabel 2522"/>
    <w:qFormat/>
    <w:rPr>
      <w:rFonts w:cs="Symbol"/>
    </w:rPr>
  </w:style>
  <w:style w:type="character" w:styleId="ListLabel2523">
    <w:name w:val="ListLabel 2523"/>
    <w:qFormat/>
    <w:rPr>
      <w:rFonts w:cs="Courier New"/>
    </w:rPr>
  </w:style>
  <w:style w:type="character" w:styleId="ListLabel2524">
    <w:name w:val="ListLabel 2524"/>
    <w:qFormat/>
    <w:rPr>
      <w:rFonts w:cs="Wingdings"/>
    </w:rPr>
  </w:style>
  <w:style w:type="character" w:styleId="ListLabel2525">
    <w:name w:val="ListLabel 2525"/>
    <w:qFormat/>
    <w:rPr>
      <w:rFonts w:cs="Symbol"/>
    </w:rPr>
  </w:style>
  <w:style w:type="character" w:styleId="ListLabel2526">
    <w:name w:val="ListLabel 2526"/>
    <w:qFormat/>
    <w:rPr>
      <w:rFonts w:cs="Courier New"/>
    </w:rPr>
  </w:style>
  <w:style w:type="character" w:styleId="ListLabel2527">
    <w:name w:val="ListLabel 2527"/>
    <w:qFormat/>
    <w:rPr>
      <w:rFonts w:cs="Wingdings"/>
    </w:rPr>
  </w:style>
  <w:style w:type="character" w:styleId="ListLabel2528">
    <w:name w:val="ListLabel 2528"/>
    <w:qFormat/>
    <w:rPr>
      <w:rFonts w:cs="OpenSymbol"/>
    </w:rPr>
  </w:style>
  <w:style w:type="character" w:styleId="ListLabel2529">
    <w:name w:val="ListLabel 2529"/>
    <w:qFormat/>
    <w:rPr>
      <w:rFonts w:cs="OpenSymbol"/>
    </w:rPr>
  </w:style>
  <w:style w:type="character" w:styleId="ListLabel2530">
    <w:name w:val="ListLabel 2530"/>
    <w:qFormat/>
    <w:rPr>
      <w:rFonts w:cs="OpenSymbol"/>
    </w:rPr>
  </w:style>
  <w:style w:type="character" w:styleId="ListLabel2531">
    <w:name w:val="ListLabel 2531"/>
    <w:qFormat/>
    <w:rPr>
      <w:rFonts w:cs="OpenSymbol"/>
    </w:rPr>
  </w:style>
  <w:style w:type="character" w:styleId="ListLabel2532">
    <w:name w:val="ListLabel 2532"/>
    <w:qFormat/>
    <w:rPr>
      <w:rFonts w:cs="OpenSymbol"/>
    </w:rPr>
  </w:style>
  <w:style w:type="character" w:styleId="ListLabel2533">
    <w:name w:val="ListLabel 2533"/>
    <w:qFormat/>
    <w:rPr>
      <w:rFonts w:cs="OpenSymbol"/>
    </w:rPr>
  </w:style>
  <w:style w:type="character" w:styleId="ListLabel2534">
    <w:name w:val="ListLabel 2534"/>
    <w:qFormat/>
    <w:rPr>
      <w:rFonts w:cs="OpenSymbol"/>
    </w:rPr>
  </w:style>
  <w:style w:type="character" w:styleId="ListLabel2535">
    <w:name w:val="ListLabel 2535"/>
    <w:qFormat/>
    <w:rPr>
      <w:rFonts w:cs="OpenSymbol"/>
    </w:rPr>
  </w:style>
  <w:style w:type="character" w:styleId="ListLabel2536">
    <w:name w:val="ListLabel 2536"/>
    <w:qFormat/>
    <w:rPr>
      <w:rFonts w:cs="OpenSymbol"/>
    </w:rPr>
  </w:style>
  <w:style w:type="character" w:styleId="ListLabel2537">
    <w:name w:val="ListLabel 2537"/>
    <w:qFormat/>
    <w:rPr>
      <w:rFonts w:cs="OpenSymbol"/>
    </w:rPr>
  </w:style>
  <w:style w:type="character" w:styleId="ListLabel2538">
    <w:name w:val="ListLabel 2538"/>
    <w:qFormat/>
    <w:rPr>
      <w:rFonts w:cs="OpenSymbol"/>
    </w:rPr>
  </w:style>
  <w:style w:type="character" w:styleId="ListLabel2539">
    <w:name w:val="ListLabel 2539"/>
    <w:qFormat/>
    <w:rPr>
      <w:rFonts w:cs="OpenSymbol"/>
    </w:rPr>
  </w:style>
  <w:style w:type="character" w:styleId="ListLabel2540">
    <w:name w:val="ListLabel 2540"/>
    <w:qFormat/>
    <w:rPr>
      <w:rFonts w:cs="OpenSymbol"/>
    </w:rPr>
  </w:style>
  <w:style w:type="character" w:styleId="ListLabel2541">
    <w:name w:val="ListLabel 2541"/>
    <w:qFormat/>
    <w:rPr>
      <w:rFonts w:cs="OpenSymbol"/>
    </w:rPr>
  </w:style>
  <w:style w:type="character" w:styleId="ListLabel2542">
    <w:name w:val="ListLabel 2542"/>
    <w:qFormat/>
    <w:rPr>
      <w:rFonts w:cs="OpenSymbol"/>
    </w:rPr>
  </w:style>
  <w:style w:type="character" w:styleId="ListLabel2543">
    <w:name w:val="ListLabel 2543"/>
    <w:qFormat/>
    <w:rPr>
      <w:rFonts w:cs="OpenSymbol"/>
    </w:rPr>
  </w:style>
  <w:style w:type="character" w:styleId="ListLabel2544">
    <w:name w:val="ListLabel 2544"/>
    <w:qFormat/>
    <w:rPr>
      <w:rFonts w:cs="OpenSymbol"/>
    </w:rPr>
  </w:style>
  <w:style w:type="character" w:styleId="ListLabel2545">
    <w:name w:val="ListLabel 2545"/>
    <w:qFormat/>
    <w:rPr>
      <w:rFonts w:cs="OpenSymbol"/>
    </w:rPr>
  </w:style>
  <w:style w:type="character" w:styleId="ListLabel2546">
    <w:name w:val="ListLabel 2546"/>
    <w:qFormat/>
    <w:rPr>
      <w:rFonts w:cs="OpenSymbol"/>
    </w:rPr>
  </w:style>
  <w:style w:type="character" w:styleId="ListLabel2547">
    <w:name w:val="ListLabel 2547"/>
    <w:qFormat/>
    <w:rPr>
      <w:rFonts w:cs="OpenSymbol"/>
    </w:rPr>
  </w:style>
  <w:style w:type="character" w:styleId="ListLabel2548">
    <w:name w:val="ListLabel 2548"/>
    <w:qFormat/>
    <w:rPr>
      <w:rFonts w:cs="OpenSymbol"/>
    </w:rPr>
  </w:style>
  <w:style w:type="character" w:styleId="ListLabel2549">
    <w:name w:val="ListLabel 2549"/>
    <w:qFormat/>
    <w:rPr>
      <w:rFonts w:cs="OpenSymbol"/>
    </w:rPr>
  </w:style>
  <w:style w:type="character" w:styleId="ListLabel2550">
    <w:name w:val="ListLabel 2550"/>
    <w:qFormat/>
    <w:rPr>
      <w:rFonts w:cs="OpenSymbol"/>
    </w:rPr>
  </w:style>
  <w:style w:type="character" w:styleId="ListLabel2551">
    <w:name w:val="ListLabel 2551"/>
    <w:qFormat/>
    <w:rPr>
      <w:rFonts w:cs="OpenSymbol"/>
    </w:rPr>
  </w:style>
  <w:style w:type="character" w:styleId="ListLabel2552">
    <w:name w:val="ListLabel 2552"/>
    <w:qFormat/>
    <w:rPr>
      <w:rFonts w:cs="OpenSymbol"/>
    </w:rPr>
  </w:style>
  <w:style w:type="character" w:styleId="ListLabel2553">
    <w:name w:val="ListLabel 2553"/>
    <w:qFormat/>
    <w:rPr>
      <w:rFonts w:cs="OpenSymbol"/>
    </w:rPr>
  </w:style>
  <w:style w:type="character" w:styleId="ListLabel2554">
    <w:name w:val="ListLabel 2554"/>
    <w:qFormat/>
    <w:rPr>
      <w:rFonts w:cs="OpenSymbol"/>
    </w:rPr>
  </w:style>
  <w:style w:type="character" w:styleId="ListLabel2555">
    <w:name w:val="ListLabel 2555"/>
    <w:qFormat/>
    <w:rPr>
      <w:rFonts w:cs="OpenSymbol"/>
    </w:rPr>
  </w:style>
  <w:style w:type="character" w:styleId="ListLabel2556">
    <w:name w:val="ListLabel 2556"/>
    <w:qFormat/>
    <w:rPr>
      <w:rFonts w:cs="OpenSymbol"/>
    </w:rPr>
  </w:style>
  <w:style w:type="character" w:styleId="ListLabel2557">
    <w:name w:val="ListLabel 2557"/>
    <w:qFormat/>
    <w:rPr>
      <w:rFonts w:cs="OpenSymbol"/>
    </w:rPr>
  </w:style>
  <w:style w:type="character" w:styleId="ListLabel2558">
    <w:name w:val="ListLabel 2558"/>
    <w:qFormat/>
    <w:rPr>
      <w:rFonts w:cs="OpenSymbol"/>
    </w:rPr>
  </w:style>
  <w:style w:type="character" w:styleId="ListLabel2559">
    <w:name w:val="ListLabel 2559"/>
    <w:qFormat/>
    <w:rPr>
      <w:rFonts w:cs="OpenSymbol"/>
    </w:rPr>
  </w:style>
  <w:style w:type="character" w:styleId="ListLabel2560">
    <w:name w:val="ListLabel 2560"/>
    <w:qFormat/>
    <w:rPr>
      <w:rFonts w:cs="OpenSymbol"/>
    </w:rPr>
  </w:style>
  <w:style w:type="character" w:styleId="ListLabel2561">
    <w:name w:val="ListLabel 2561"/>
    <w:qFormat/>
    <w:rPr>
      <w:rFonts w:cs="OpenSymbol"/>
    </w:rPr>
  </w:style>
  <w:style w:type="character" w:styleId="ListLabel2562">
    <w:name w:val="ListLabel 2562"/>
    <w:qFormat/>
    <w:rPr>
      <w:rFonts w:cs="OpenSymbol"/>
    </w:rPr>
  </w:style>
  <w:style w:type="character" w:styleId="ListLabel2563">
    <w:name w:val="ListLabel 2563"/>
    <w:qFormat/>
    <w:rPr>
      <w:rFonts w:cs="OpenSymbol"/>
    </w:rPr>
  </w:style>
  <w:style w:type="character" w:styleId="ListLabel2564">
    <w:name w:val="ListLabel 2564"/>
    <w:qFormat/>
    <w:rPr>
      <w:rFonts w:cs="OpenSymbol"/>
    </w:rPr>
  </w:style>
  <w:style w:type="character" w:styleId="ListLabel2565">
    <w:name w:val="ListLabel 2565"/>
    <w:qFormat/>
    <w:rPr>
      <w:rFonts w:cs="OpenSymbol"/>
    </w:rPr>
  </w:style>
  <w:style w:type="character" w:styleId="ListLabel2566">
    <w:name w:val="ListLabel 2566"/>
    <w:qFormat/>
    <w:rPr>
      <w:rFonts w:cs="OpenSymbol"/>
    </w:rPr>
  </w:style>
  <w:style w:type="character" w:styleId="ListLabel2567">
    <w:name w:val="ListLabel 2567"/>
    <w:qFormat/>
    <w:rPr>
      <w:rFonts w:cs="OpenSymbol"/>
    </w:rPr>
  </w:style>
  <w:style w:type="character" w:styleId="ListLabel2568">
    <w:name w:val="ListLabel 2568"/>
    <w:qFormat/>
    <w:rPr>
      <w:rFonts w:cs="OpenSymbol"/>
    </w:rPr>
  </w:style>
  <w:style w:type="character" w:styleId="ListLabel2569">
    <w:name w:val="ListLabel 2569"/>
    <w:qFormat/>
    <w:rPr>
      <w:rFonts w:cs="OpenSymbol"/>
    </w:rPr>
  </w:style>
  <w:style w:type="character" w:styleId="ListLabel2570">
    <w:name w:val="ListLabel 2570"/>
    <w:qFormat/>
    <w:rPr>
      <w:rFonts w:cs="OpenSymbol"/>
    </w:rPr>
  </w:style>
  <w:style w:type="character" w:styleId="ListLabel2571">
    <w:name w:val="ListLabel 2571"/>
    <w:qFormat/>
    <w:rPr>
      <w:rFonts w:cs="OpenSymbol"/>
    </w:rPr>
  </w:style>
  <w:style w:type="character" w:styleId="ListLabel2572">
    <w:name w:val="ListLabel 2572"/>
    <w:qFormat/>
    <w:rPr>
      <w:rFonts w:cs="OpenSymbol"/>
    </w:rPr>
  </w:style>
  <w:style w:type="character" w:styleId="ListLabel2573">
    <w:name w:val="ListLabel 2573"/>
    <w:qFormat/>
    <w:rPr>
      <w:rFonts w:cs="OpenSymbol"/>
    </w:rPr>
  </w:style>
  <w:style w:type="character" w:styleId="ListLabel2574">
    <w:name w:val="ListLabel 2574"/>
    <w:qFormat/>
    <w:rPr>
      <w:rFonts w:cs="OpenSymbol"/>
    </w:rPr>
  </w:style>
  <w:style w:type="character" w:styleId="ListLabel2575">
    <w:name w:val="ListLabel 2575"/>
    <w:qFormat/>
    <w:rPr>
      <w:rFonts w:cs="OpenSymbol"/>
    </w:rPr>
  </w:style>
  <w:style w:type="character" w:styleId="ListLabel2576">
    <w:name w:val="ListLabel 2576"/>
    <w:qFormat/>
    <w:rPr>
      <w:rFonts w:cs="OpenSymbol"/>
    </w:rPr>
  </w:style>
  <w:style w:type="character" w:styleId="ListLabel2577">
    <w:name w:val="ListLabel 2577"/>
    <w:qFormat/>
    <w:rPr>
      <w:rFonts w:cs="OpenSymbol"/>
    </w:rPr>
  </w:style>
  <w:style w:type="character" w:styleId="ListLabel2578">
    <w:name w:val="ListLabel 2578"/>
    <w:qFormat/>
    <w:rPr>
      <w:rFonts w:cs="OpenSymbol"/>
    </w:rPr>
  </w:style>
  <w:style w:type="character" w:styleId="ListLabel2579">
    <w:name w:val="ListLabel 2579"/>
    <w:qFormat/>
    <w:rPr>
      <w:rFonts w:cs="OpenSymbol"/>
    </w:rPr>
  </w:style>
  <w:style w:type="character" w:styleId="ListLabel2580">
    <w:name w:val="ListLabel 2580"/>
    <w:qFormat/>
    <w:rPr>
      <w:rFonts w:cs="OpenSymbol"/>
    </w:rPr>
  </w:style>
  <w:style w:type="character" w:styleId="ListLabel2581">
    <w:name w:val="ListLabel 2581"/>
    <w:qFormat/>
    <w:rPr>
      <w:rFonts w:cs="OpenSymbol"/>
    </w:rPr>
  </w:style>
  <w:style w:type="character" w:styleId="ListLabel2582">
    <w:name w:val="ListLabel 2582"/>
    <w:qFormat/>
    <w:rPr>
      <w:rFonts w:cs="OpenSymbol"/>
    </w:rPr>
  </w:style>
  <w:style w:type="character" w:styleId="ListLabel2583">
    <w:name w:val="ListLabel 2583"/>
    <w:qFormat/>
    <w:rPr>
      <w:rFonts w:cs="OpenSymbol"/>
    </w:rPr>
  </w:style>
  <w:style w:type="character" w:styleId="ListLabel2584">
    <w:name w:val="ListLabel 2584"/>
    <w:qFormat/>
    <w:rPr>
      <w:rFonts w:cs="OpenSymbol"/>
    </w:rPr>
  </w:style>
  <w:style w:type="character" w:styleId="ListLabel2585">
    <w:name w:val="ListLabel 2585"/>
    <w:qFormat/>
    <w:rPr>
      <w:rFonts w:cs="OpenSymbol"/>
    </w:rPr>
  </w:style>
  <w:style w:type="character" w:styleId="ListLabel2586">
    <w:name w:val="ListLabel 2586"/>
    <w:qFormat/>
    <w:rPr>
      <w:rFonts w:cs="OpenSymbol"/>
    </w:rPr>
  </w:style>
  <w:style w:type="character" w:styleId="ListLabel2587">
    <w:name w:val="ListLabel 2587"/>
    <w:qFormat/>
    <w:rPr>
      <w:rFonts w:cs="OpenSymbol"/>
    </w:rPr>
  </w:style>
  <w:style w:type="character" w:styleId="ListLabel2588">
    <w:name w:val="ListLabel 2588"/>
    <w:qFormat/>
    <w:rPr>
      <w:rFonts w:cs="OpenSymbol"/>
    </w:rPr>
  </w:style>
  <w:style w:type="character" w:styleId="ListLabel2589">
    <w:name w:val="ListLabel 2589"/>
    <w:qFormat/>
    <w:rPr>
      <w:rFonts w:cs="OpenSymbol"/>
    </w:rPr>
  </w:style>
  <w:style w:type="character" w:styleId="ListLabel2590">
    <w:name w:val="ListLabel 2590"/>
    <w:qFormat/>
    <w:rPr>
      <w:rFonts w:cs="OpenSymbol"/>
    </w:rPr>
  </w:style>
  <w:style w:type="character" w:styleId="ListLabel2591">
    <w:name w:val="ListLabel 2591"/>
    <w:qFormat/>
    <w:rPr>
      <w:rFonts w:cs="OpenSymbol"/>
    </w:rPr>
  </w:style>
  <w:style w:type="character" w:styleId="ListLabel2592">
    <w:name w:val="ListLabel 2592"/>
    <w:qFormat/>
    <w:rPr>
      <w:rFonts w:cs="OpenSymbol"/>
    </w:rPr>
  </w:style>
  <w:style w:type="character" w:styleId="ListLabel2593">
    <w:name w:val="ListLabel 2593"/>
    <w:qFormat/>
    <w:rPr>
      <w:rFonts w:cs="OpenSymbol"/>
    </w:rPr>
  </w:style>
  <w:style w:type="character" w:styleId="ListLabel2594">
    <w:name w:val="ListLabel 2594"/>
    <w:qFormat/>
    <w:rPr>
      <w:rFonts w:cs="OpenSymbol"/>
    </w:rPr>
  </w:style>
  <w:style w:type="character" w:styleId="ListLabel2595">
    <w:name w:val="ListLabel 2595"/>
    <w:qFormat/>
    <w:rPr>
      <w:rFonts w:cs="OpenSymbol"/>
    </w:rPr>
  </w:style>
  <w:style w:type="character" w:styleId="ListLabel2596">
    <w:name w:val="ListLabel 2596"/>
    <w:qFormat/>
    <w:rPr>
      <w:rFonts w:cs="OpenSymbol"/>
    </w:rPr>
  </w:style>
  <w:style w:type="character" w:styleId="ListLabel2597">
    <w:name w:val="ListLabel 2597"/>
    <w:qFormat/>
    <w:rPr>
      <w:rFonts w:cs="OpenSymbol"/>
    </w:rPr>
  </w:style>
  <w:style w:type="character" w:styleId="ListLabel2598">
    <w:name w:val="ListLabel 2598"/>
    <w:qFormat/>
    <w:rPr>
      <w:rFonts w:cs="OpenSymbol"/>
    </w:rPr>
  </w:style>
  <w:style w:type="character" w:styleId="ListLabel2599">
    <w:name w:val="ListLabel 2599"/>
    <w:qFormat/>
    <w:rPr>
      <w:rFonts w:cs="OpenSymbol"/>
    </w:rPr>
  </w:style>
  <w:style w:type="character" w:styleId="ListLabel2600">
    <w:name w:val="ListLabel 2600"/>
    <w:qFormat/>
    <w:rPr>
      <w:rFonts w:eastAsia="Calibri"/>
    </w:rPr>
  </w:style>
  <w:style w:type="character" w:styleId="ListLabel2601">
    <w:name w:val="ListLabel 2601"/>
    <w:qFormat/>
    <w:rPr/>
  </w:style>
  <w:style w:type="character" w:styleId="ListLabel2602">
    <w:name w:val="ListLabel 2602"/>
    <w:qFormat/>
    <w:rPr/>
  </w:style>
  <w:style w:type="character" w:styleId="ListLabel2603">
    <w:name w:val="ListLabel 2603"/>
    <w:qFormat/>
    <w:rPr/>
  </w:style>
  <w:style w:type="character" w:styleId="ListLabel2604">
    <w:name w:val="ListLabel 2604"/>
    <w:qFormat/>
    <w:rPr/>
  </w:style>
  <w:style w:type="character" w:styleId="ListLabel2605">
    <w:name w:val="ListLabel 2605"/>
    <w:qFormat/>
    <w:rPr/>
  </w:style>
  <w:style w:type="character" w:styleId="ListLabel2606">
    <w:name w:val="ListLabel 2606"/>
    <w:qFormat/>
    <w:rPr>
      <w:rFonts w:eastAsia="Calibri"/>
    </w:rPr>
  </w:style>
  <w:style w:type="character" w:styleId="ListLabel2607">
    <w:name w:val="ListLabel 2607"/>
    <w:qFormat/>
    <w:rPr>
      <w:rFonts w:eastAsia="Calibri"/>
    </w:rPr>
  </w:style>
  <w:style w:type="character" w:styleId="ListLabel2608">
    <w:name w:val="ListLabel 2608"/>
    <w:qFormat/>
    <w:rPr/>
  </w:style>
  <w:style w:type="character" w:styleId="ListLabel2609">
    <w:name w:val="ListLabel 2609"/>
    <w:qFormat/>
    <w:rPr/>
  </w:style>
  <w:style w:type="character" w:styleId="ListLabel2610">
    <w:name w:val="ListLabel 2610"/>
    <w:qFormat/>
    <w:rPr/>
  </w:style>
  <w:style w:type="character" w:styleId="ListLabel2611">
    <w:name w:val="ListLabel 2611"/>
    <w:qFormat/>
    <w:rPr>
      <w:b/>
      <w:bCs/>
      <w:i/>
      <w:sz w:val="28"/>
      <w:szCs w:val="28"/>
    </w:rPr>
  </w:style>
  <w:style w:type="character" w:styleId="ListLabel2612">
    <w:name w:val="ListLabel 2612"/>
    <w:qFormat/>
    <w:rPr/>
  </w:style>
  <w:style w:type="character" w:styleId="ListLabel2613">
    <w:name w:val="ListLabel 2613"/>
    <w:qFormat/>
    <w:rPr>
      <w:b w:val="false"/>
      <w:bCs w:val="false"/>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Abstraktum" w:customStyle="1">
    <w:name w:val="Abstraktum"/>
    <w:basedOn w:val="Normal"/>
    <w:qFormat/>
    <w:rsid w:val="004d0106"/>
    <w:pPr/>
    <w:rPr>
      <w:rFonts w:ascii="Helvetica Neue" w:hAnsi="Helvetica Neue"/>
      <w:i/>
      <w:iCs/>
    </w:rPr>
  </w:style>
  <w:style w:type="paragraph" w:styleId="Bildtitel" w:customStyle="1">
    <w:name w:val="Bildtitel"/>
    <w:basedOn w:val="Normal"/>
    <w:qFormat/>
    <w:rsid w:val="004d0106"/>
    <w:pPr>
      <w:spacing w:before="120" w:after="160"/>
    </w:pPr>
    <w:rPr>
      <w:rFonts w:cs="Times New Roman (Textkörper CS)"/>
      <w:sz w:val="20"/>
      <w14:numForm w14:val="oldStyle"/>
    </w:rPr>
  </w:style>
  <w:style w:type="paragraph" w:styleId="Inhaltsverzeichnismanuell" w:customStyle="1">
    <w:name w:val="Inhaltsverzeichnis_manuell"/>
    <w:basedOn w:val="Normal"/>
    <w:qFormat/>
    <w:rsid w:val="004d0106"/>
    <w:pPr>
      <w:tabs>
        <w:tab w:val="decimal" w:pos="6804" w:leader="dot"/>
      </w:tabs>
    </w:pPr>
    <w:rPr>
      <w:rFonts w:ascii="Helvetica Neue" w:hAnsi="Helvetica Neue"/>
      <w14:ligatures w14:val="standardContextual"/>
      <w14:cntxtAlts/>
    </w:rPr>
  </w:style>
  <w:style w:type="paragraph" w:styleId="ScriptZeitangabe" w:customStyle="1">
    <w:name w:val="ScriptZeitangabe"/>
    <w:basedOn w:val="Normal"/>
    <w:qFormat/>
    <w:rsid w:val="004d0106"/>
    <w:pPr>
      <w:keepNext w:val="true"/>
      <w:keepLines/>
      <w:tabs>
        <w:tab w:val="right" w:pos="7371" w:leader="none"/>
        <w:tab w:val="right" w:pos="9072" w:leader="dot"/>
      </w:tabs>
      <w:spacing w:before="0" w:after="120"/>
    </w:pPr>
    <w:rPr>
      <w:rFonts w:ascii="Helvetica Neue" w:hAnsi="Helvetica Neue"/>
      <w14:ligatures w14:val="standardContextual"/>
      <w14:numSpacing w14:val="tabular"/>
      <w14:cntxtAlts/>
    </w:rPr>
  </w:style>
  <w:style w:type="paragraph" w:styleId="StandardmitAbsatzAbstand" w:customStyle="1">
    <w:name w:val="Standard mit Absatz Abstand"/>
    <w:basedOn w:val="Normal"/>
    <w:qFormat/>
    <w:rsid w:val="004d0106"/>
    <w:pPr>
      <w:spacing w:before="0" w:after="120"/>
    </w:pPr>
    <w:rPr>
      <w:rFonts w:ascii="Helvetica Neue" w:hAnsi="Helvetica Neue"/>
      <w14:ligatures w14:val="standardContextual"/>
      <w14:cntxtAlts/>
    </w:rPr>
  </w:style>
  <w:style w:type="paragraph" w:styleId="Funote">
    <w:name w:val="Footnote Text"/>
    <w:basedOn w:val="Normal"/>
    <w:link w:val="FunotentextZchn"/>
    <w:uiPriority w:val="99"/>
    <w:semiHidden/>
    <w:unhideWhenUsed/>
    <w:rsid w:val="004d0106"/>
    <w:pPr>
      <w:spacing w:before="0" w:after="0"/>
    </w:pPr>
    <w:rPr>
      <w:sz w:val="20"/>
      <w:szCs w:val="20"/>
    </w:rPr>
  </w:style>
  <w:style w:type="paragraph" w:styleId="Title2ContentLTGliederung1" w:customStyle="1">
    <w:name w:val="Title;2 Content~LT~Gliederung 1"/>
    <w:qFormat/>
    <w:pPr>
      <w:widowControl/>
      <w:bidi w:val="0"/>
      <w:spacing w:before="283" w:after="0"/>
      <w:jc w:val="left"/>
    </w:pPr>
    <w:rPr>
      <w:rFonts w:ascii="Lucida Sans" w:hAnsi="Lucida Sans" w:eastAsia="Tahoma" w:cs="Liberation Sans"/>
      <w:color w:val="000000"/>
      <w:kern w:val="2"/>
      <w:sz w:val="64"/>
      <w:szCs w:val="24"/>
      <w:lang w:val="de-AT" w:eastAsia="en-US" w:bidi="ar-SA"/>
    </w:rPr>
  </w:style>
  <w:style w:type="paragraph" w:styleId="Title2ContentLTGliederung2" w:customStyle="1">
    <w:name w:val="Title;2 Content~LT~Gliederung 2"/>
    <w:basedOn w:val="Title2ContentLTGliederung1"/>
    <w:qFormat/>
    <w:pPr>
      <w:spacing w:before="227" w:after="0"/>
    </w:pPr>
    <w:rPr>
      <w:rFonts w:eastAsia="Lucida Sans" w:cs="Lucida Sans"/>
      <w:sz w:val="56"/>
    </w:rPr>
  </w:style>
  <w:style w:type="paragraph" w:styleId="Title2ContentLTGliederung3" w:customStyle="1">
    <w:name w:val="Title;2 Content~LT~Gliederung 3"/>
    <w:basedOn w:val="Title2ContentLTGliederung2"/>
    <w:qFormat/>
    <w:pPr>
      <w:spacing w:before="170" w:after="0"/>
    </w:pPr>
    <w:rPr>
      <w:sz w:val="48"/>
    </w:rPr>
  </w:style>
  <w:style w:type="paragraph" w:styleId="Title2ContentLTGliederung4" w:customStyle="1">
    <w:name w:val="Title;2 Content~LT~Gliederung 4"/>
    <w:basedOn w:val="Title2ContentLTGliederung3"/>
    <w:qFormat/>
    <w:pPr>
      <w:spacing w:before="113" w:after="0"/>
    </w:pPr>
    <w:rPr>
      <w:sz w:val="40"/>
    </w:rPr>
  </w:style>
  <w:style w:type="paragraph" w:styleId="Title2ContentLTGliederung5" w:customStyle="1">
    <w:name w:val="Title;2 Content~LT~Gliederung 5"/>
    <w:basedOn w:val="Title2ContentLTGliederung4"/>
    <w:qFormat/>
    <w:pPr>
      <w:spacing w:before="57" w:after="0"/>
    </w:pPr>
    <w:rPr/>
  </w:style>
  <w:style w:type="paragraph" w:styleId="Title2ContentLTGliederung6" w:customStyle="1">
    <w:name w:val="Title;2 Content~LT~Gliederung 6"/>
    <w:basedOn w:val="Title2ContentLTGliederung5"/>
    <w:qFormat/>
    <w:pPr/>
    <w:rPr/>
  </w:style>
  <w:style w:type="paragraph" w:styleId="Title2ContentLTGliederung7" w:customStyle="1">
    <w:name w:val="Title;2 Content~LT~Gliederung 7"/>
    <w:basedOn w:val="Title2ContentLTGliederung6"/>
    <w:qFormat/>
    <w:pPr/>
    <w:rPr/>
  </w:style>
  <w:style w:type="paragraph" w:styleId="Title2ContentLTGliederung8" w:customStyle="1">
    <w:name w:val="Title;2 Content~LT~Gliederung 8"/>
    <w:basedOn w:val="Title2ContentLTGliederung7"/>
    <w:qFormat/>
    <w:pPr/>
    <w:rPr/>
  </w:style>
  <w:style w:type="paragraph" w:styleId="Title2ContentLTGliederung9" w:customStyle="1">
    <w:name w:val="Title;2 Content~LT~Gliederung 9"/>
    <w:basedOn w:val="Title2ContentLTGliederung8"/>
    <w:qFormat/>
    <w:pPr/>
    <w:rPr/>
  </w:style>
  <w:style w:type="paragraph" w:styleId="Title2ContentLTTitel" w:customStyle="1">
    <w:name w:val="Title;2 Content~LT~Titel"/>
    <w:qFormat/>
    <w:pPr>
      <w:widowControl/>
      <w:bidi w:val="0"/>
      <w:jc w:val="center"/>
    </w:pPr>
    <w:rPr>
      <w:rFonts w:ascii="Lucida Sans" w:hAnsi="Lucida Sans" w:eastAsia="Tahoma" w:cs="Liberation Sans"/>
      <w:color w:val="000000"/>
      <w:kern w:val="2"/>
      <w:sz w:val="88"/>
      <w:szCs w:val="24"/>
      <w:lang w:val="de-AT" w:eastAsia="en-US" w:bidi="ar-SA"/>
    </w:rPr>
  </w:style>
  <w:style w:type="paragraph" w:styleId="Title2ContentLTUntertitel" w:customStyle="1">
    <w:name w:val="Title;2 Content~LT~Untertitel"/>
    <w:qFormat/>
    <w:pPr>
      <w:widowControl/>
      <w:bidi w:val="0"/>
      <w:jc w:val="center"/>
    </w:pPr>
    <w:rPr>
      <w:rFonts w:ascii="Lucida Sans" w:hAnsi="Lucida Sans" w:eastAsia="Tahoma" w:cs="Liberation Sans"/>
      <w:color w:val="000000"/>
      <w:kern w:val="2"/>
      <w:sz w:val="64"/>
      <w:szCs w:val="24"/>
      <w:lang w:val="de-AT" w:eastAsia="en-US" w:bidi="ar-SA"/>
    </w:rPr>
  </w:style>
  <w:style w:type="paragraph" w:styleId="Title2ContentLTNotizen" w:customStyle="1">
    <w:name w:val="Title;2 Content~LT~Notizen"/>
    <w:qFormat/>
    <w:pPr>
      <w:widowControl/>
      <w:bidi w:val="0"/>
      <w:ind w:left="340" w:hanging="340"/>
      <w:jc w:val="left"/>
    </w:pPr>
    <w:rPr>
      <w:rFonts w:ascii="Lucida Sans" w:hAnsi="Lucida Sans" w:eastAsia="Tahoma" w:cs="Liberation Sans"/>
      <w:color w:val="000000"/>
      <w:kern w:val="2"/>
      <w:sz w:val="40"/>
      <w:szCs w:val="24"/>
      <w:lang w:val="de-AT" w:eastAsia="en-US" w:bidi="ar-SA"/>
    </w:rPr>
  </w:style>
  <w:style w:type="paragraph" w:styleId="Title2ContentLTHintergrundobjekte" w:customStyle="1">
    <w:name w:val="Title;2 Content~LT~Hintergrundobjekte"/>
    <w:qFormat/>
    <w:pPr>
      <w:widowControl/>
      <w:bidi w:val="0"/>
      <w:jc w:val="left"/>
    </w:pPr>
    <w:rPr>
      <w:rFonts w:ascii="Liberation Serif" w:hAnsi="Liberation Serif" w:eastAsia="Tahoma" w:cs="Liberation Sans"/>
      <w:color w:val="00000A"/>
      <w:kern w:val="2"/>
      <w:sz w:val="24"/>
      <w:szCs w:val="24"/>
      <w:lang w:val="de-AT" w:eastAsia="en-US" w:bidi="ar-SA"/>
    </w:rPr>
  </w:style>
  <w:style w:type="paragraph" w:styleId="Title2ContentLTHintergrund" w:customStyle="1">
    <w:name w:val="Title;2 Content~LT~Hintergrund"/>
    <w:qFormat/>
    <w:pPr>
      <w:widowControl/>
      <w:bidi w:val="0"/>
      <w:jc w:val="left"/>
    </w:pPr>
    <w:rPr>
      <w:rFonts w:ascii="Liberation Serif" w:hAnsi="Liberation Serif" w:eastAsia="Tahoma" w:cs="Liberation Sans"/>
      <w:color w:val="00000A"/>
      <w:kern w:val="2"/>
      <w:sz w:val="24"/>
      <w:szCs w:val="24"/>
      <w:lang w:val="de-AT" w:eastAsia="en-US" w:bidi="ar-SA"/>
    </w:rPr>
  </w:style>
  <w:style w:type="paragraph" w:styleId="TitleContentLTGliederung1" w:customStyle="1">
    <w:name w:val="Title;Content~LT~Gliederung 1"/>
    <w:qFormat/>
    <w:pPr>
      <w:widowControl/>
      <w:bidi w:val="0"/>
      <w:spacing w:before="283" w:after="0"/>
      <w:jc w:val="left"/>
    </w:pPr>
    <w:rPr>
      <w:rFonts w:ascii="Lucida Sans" w:hAnsi="Lucida Sans" w:eastAsia="Tahoma" w:cs="Liberation Sans"/>
      <w:color w:val="000000"/>
      <w:kern w:val="2"/>
      <w:sz w:val="64"/>
      <w:szCs w:val="24"/>
      <w:lang w:val="de-AT" w:eastAsia="en-US" w:bidi="ar-SA"/>
    </w:rPr>
  </w:style>
  <w:style w:type="paragraph" w:styleId="TitleContentLTGliederung2" w:customStyle="1">
    <w:name w:val="Title;Content~LT~Gliederung 2"/>
    <w:basedOn w:val="TitleContentLTGliederung1"/>
    <w:qFormat/>
    <w:pPr>
      <w:spacing w:before="227" w:after="0"/>
    </w:pPr>
    <w:rPr>
      <w:rFonts w:eastAsia="Lucida Sans" w:cs="Lucida Sans"/>
      <w:sz w:val="56"/>
    </w:rPr>
  </w:style>
  <w:style w:type="paragraph" w:styleId="TitleContentLTGliederung3" w:customStyle="1">
    <w:name w:val="Title;Content~LT~Gliederung 3"/>
    <w:basedOn w:val="TitleContentLTGliederung2"/>
    <w:qFormat/>
    <w:pPr>
      <w:spacing w:before="170" w:after="0"/>
    </w:pPr>
    <w:rPr>
      <w:sz w:val="48"/>
    </w:rPr>
  </w:style>
  <w:style w:type="paragraph" w:styleId="TitleContentLTGliederung4" w:customStyle="1">
    <w:name w:val="Title;Content~LT~Gliederung 4"/>
    <w:basedOn w:val="TitleContentLTGliederung3"/>
    <w:qFormat/>
    <w:pPr>
      <w:spacing w:before="113" w:after="0"/>
    </w:pPr>
    <w:rPr>
      <w:sz w:val="40"/>
    </w:rPr>
  </w:style>
  <w:style w:type="paragraph" w:styleId="TitleContentLTGliederung5" w:customStyle="1">
    <w:name w:val="Title;Content~LT~Gliederung 5"/>
    <w:basedOn w:val="TitleContentLTGliederung4"/>
    <w:qFormat/>
    <w:pPr>
      <w:spacing w:before="57" w:after="0"/>
    </w:pPr>
    <w:rPr/>
  </w:style>
  <w:style w:type="paragraph" w:styleId="TitleContentLTGliederung6" w:customStyle="1">
    <w:name w:val="Title;Content~LT~Gliederung 6"/>
    <w:basedOn w:val="TitleContentLTGliederung5"/>
    <w:qFormat/>
    <w:pPr/>
    <w:rPr/>
  </w:style>
  <w:style w:type="paragraph" w:styleId="TitleContentLTGliederung7" w:customStyle="1">
    <w:name w:val="Title;Content~LT~Gliederung 7"/>
    <w:basedOn w:val="TitleContentLTGliederung6"/>
    <w:qFormat/>
    <w:pPr/>
    <w:rPr/>
  </w:style>
  <w:style w:type="paragraph" w:styleId="TitleContentLTGliederung8" w:customStyle="1">
    <w:name w:val="Title;Content~LT~Gliederung 8"/>
    <w:basedOn w:val="TitleContentLTGliederung7"/>
    <w:qFormat/>
    <w:pPr/>
    <w:rPr/>
  </w:style>
  <w:style w:type="paragraph" w:styleId="TitleContentLTGliederung9" w:customStyle="1">
    <w:name w:val="Title;Content~LT~Gliederung 9"/>
    <w:basedOn w:val="TitleContentLTGliederung8"/>
    <w:qFormat/>
    <w:pPr/>
    <w:rPr/>
  </w:style>
  <w:style w:type="paragraph" w:styleId="TitleContentLTTitel" w:customStyle="1">
    <w:name w:val="Title;Content~LT~Titel"/>
    <w:qFormat/>
    <w:pPr>
      <w:widowControl/>
      <w:bidi w:val="0"/>
      <w:jc w:val="center"/>
    </w:pPr>
    <w:rPr>
      <w:rFonts w:ascii="Lucida Sans" w:hAnsi="Lucida Sans" w:eastAsia="Tahoma" w:cs="Liberation Sans"/>
      <w:color w:val="000000"/>
      <w:kern w:val="2"/>
      <w:sz w:val="88"/>
      <w:szCs w:val="24"/>
      <w:lang w:val="de-AT" w:eastAsia="en-US" w:bidi="ar-SA"/>
    </w:rPr>
  </w:style>
  <w:style w:type="paragraph" w:styleId="TitleContentLTUntertitel" w:customStyle="1">
    <w:name w:val="Title;Content~LT~Untertitel"/>
    <w:qFormat/>
    <w:pPr>
      <w:widowControl/>
      <w:bidi w:val="0"/>
      <w:jc w:val="center"/>
    </w:pPr>
    <w:rPr>
      <w:rFonts w:ascii="Lucida Sans" w:hAnsi="Lucida Sans" w:eastAsia="Tahoma" w:cs="Liberation Sans"/>
      <w:color w:val="000000"/>
      <w:kern w:val="2"/>
      <w:sz w:val="64"/>
      <w:szCs w:val="24"/>
      <w:lang w:val="de-AT" w:eastAsia="en-US" w:bidi="ar-SA"/>
    </w:rPr>
  </w:style>
  <w:style w:type="paragraph" w:styleId="TitleContentLTNotizen" w:customStyle="1">
    <w:name w:val="Title;Content~LT~Notizen"/>
    <w:qFormat/>
    <w:pPr>
      <w:widowControl/>
      <w:bidi w:val="0"/>
      <w:ind w:left="340" w:hanging="340"/>
      <w:jc w:val="left"/>
    </w:pPr>
    <w:rPr>
      <w:rFonts w:ascii="Lucida Sans" w:hAnsi="Lucida Sans" w:eastAsia="Tahoma" w:cs="Liberation Sans"/>
      <w:color w:val="000000"/>
      <w:kern w:val="2"/>
      <w:sz w:val="40"/>
      <w:szCs w:val="24"/>
      <w:lang w:val="de-AT" w:eastAsia="en-US" w:bidi="ar-SA"/>
    </w:rPr>
  </w:style>
  <w:style w:type="paragraph" w:styleId="TitleContentLTHintergrundobjekte" w:customStyle="1">
    <w:name w:val="Title;Content~LT~Hintergrundobjekte"/>
    <w:qFormat/>
    <w:pPr>
      <w:widowControl/>
      <w:bidi w:val="0"/>
      <w:jc w:val="left"/>
    </w:pPr>
    <w:rPr>
      <w:rFonts w:ascii="Liberation Serif" w:hAnsi="Liberation Serif" w:eastAsia="Tahoma" w:cs="Liberation Sans"/>
      <w:color w:val="00000A"/>
      <w:kern w:val="2"/>
      <w:sz w:val="24"/>
      <w:szCs w:val="24"/>
      <w:lang w:val="de-AT" w:eastAsia="en-US" w:bidi="ar-SA"/>
    </w:rPr>
  </w:style>
  <w:style w:type="paragraph" w:styleId="TitleContentLTHintergrund" w:customStyle="1">
    <w:name w:val="Title;Content~LT~Hintergrund"/>
    <w:qFormat/>
    <w:pPr>
      <w:widowControl/>
      <w:bidi w:val="0"/>
      <w:jc w:val="left"/>
    </w:pPr>
    <w:rPr>
      <w:rFonts w:ascii="Liberation Serif" w:hAnsi="Liberation Serif" w:eastAsia="Tahoma" w:cs="Liberation Sans"/>
      <w:color w:val="00000A"/>
      <w:kern w:val="2"/>
      <w:sz w:val="24"/>
      <w:szCs w:val="24"/>
      <w:lang w:val="de-AT" w:eastAsia="en-US" w:bidi="ar-SA"/>
    </w:rPr>
  </w:style>
  <w:style w:type="paragraph" w:styleId="Inhaltsverzeichnis1">
    <w:name w:val="TOC 1"/>
    <w:basedOn w:val="Normal"/>
    <w:next w:val="Normal"/>
    <w:autoRedefine/>
    <w:uiPriority w:val="39"/>
    <w:unhideWhenUsed/>
    <w:rsid w:val="00890545"/>
    <w:pPr>
      <w:spacing w:before="0" w:after="100"/>
    </w:pPr>
    <w:rPr/>
  </w:style>
  <w:style w:type="paragraph" w:styleId="Inhaltsverzeichnis2">
    <w:name w:val="TOC 2"/>
    <w:basedOn w:val="Normal"/>
    <w:next w:val="Normal"/>
    <w:autoRedefine/>
    <w:uiPriority w:val="39"/>
    <w:unhideWhenUsed/>
    <w:rsid w:val="00890545"/>
    <w:pPr>
      <w:spacing w:before="0" w:after="100"/>
      <w:ind w:left="220" w:hanging="0"/>
    </w:pPr>
    <w:rPr/>
  </w:style>
  <w:style w:type="paragraph" w:styleId="BalloonText">
    <w:name w:val="Balloon Text"/>
    <w:basedOn w:val="Normal"/>
    <w:link w:val="SprechblasentextZchn"/>
    <w:uiPriority w:val="99"/>
    <w:semiHidden/>
    <w:unhideWhenUsed/>
    <w:qFormat/>
    <w:rsid w:val="00dc018b"/>
    <w:pPr>
      <w:spacing w:before="0" w:after="0"/>
    </w:pPr>
    <w:rPr>
      <w:rFonts w:ascii="Times New Roman" w:hAnsi="Times New Roman"/>
      <w:sz w:val="18"/>
      <w:szCs w:val="18"/>
    </w:rPr>
  </w:style>
  <w:style w:type="paragraph" w:styleId="Kopfzeile">
    <w:name w:val="Header"/>
    <w:basedOn w:val="Normal"/>
    <w:link w:val="KopfzeileZchn"/>
    <w:uiPriority w:val="99"/>
    <w:unhideWhenUsed/>
    <w:rsid w:val="005f35e2"/>
    <w:pPr>
      <w:tabs>
        <w:tab w:val="center" w:pos="4536" w:leader="none"/>
        <w:tab w:val="right" w:pos="9072" w:leader="none"/>
      </w:tabs>
      <w:spacing w:before="0" w:after="0"/>
    </w:pPr>
    <w:rPr/>
  </w:style>
  <w:style w:type="paragraph" w:styleId="Fuzeile">
    <w:name w:val="Footer"/>
    <w:basedOn w:val="Normal"/>
    <w:link w:val="FuzeileZchn"/>
    <w:uiPriority w:val="99"/>
    <w:unhideWhenUsed/>
    <w:rsid w:val="005f35e2"/>
    <w:pPr>
      <w:tabs>
        <w:tab w:val="center" w:pos="4536" w:leader="none"/>
        <w:tab w:val="right" w:pos="9072" w:leader="none"/>
      </w:tabs>
      <w:spacing w:before="0" w:after="0"/>
    </w:pPr>
    <w:rPr>
      <w:sz w:val="18"/>
    </w:rPr>
  </w:style>
  <w:style w:type="paragraph" w:styleId="Tabelleninhalt" w:customStyle="1">
    <w:name w:val="Tabelleninhalt"/>
    <w:basedOn w:val="Normal"/>
    <w:qFormat/>
    <w:pPr>
      <w:suppressLineNumbers/>
    </w:pPr>
    <w:rPr/>
  </w:style>
  <w:style w:type="paragraph" w:styleId="Tabellenberschrift" w:customStyle="1">
    <w:name w:val="Tabellenüberschrift"/>
    <w:basedOn w:val="Tabelleninhalt"/>
    <w:qFormat/>
    <w:pPr>
      <w:jc w:val="center"/>
    </w:pPr>
    <w:rPr>
      <w:b/>
      <w:bCs/>
    </w:rPr>
  </w:style>
  <w:style w:type="numbering" w:styleId="NoList" w:default="1">
    <w:name w:val="No List"/>
    <w:uiPriority w:val="99"/>
    <w:semiHidden/>
    <w:unhideWhenUsed/>
    <w:qFormat/>
  </w:style>
  <w:style w:type="numbering" w:styleId="OutlineList2">
    <w:name w:val="Outline List 2"/>
    <w:uiPriority w:val="99"/>
    <w:semiHidden/>
    <w:unhideWhenUsed/>
    <w:qFormat/>
    <w:rsid w:val="005f35e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ataprivacydoctors.at/vorlagen/" TargetMode="External"/><Relationship Id="rId3" Type="http://schemas.openxmlformats.org/officeDocument/2006/relationships/hyperlink" Target="https://www.wko.at/service/wirtschaftsrecht-gewerberecht/Informationen-zur-EU-Datenschutz-Grundverordnung.html" TargetMode="External"/><Relationship Id="rId4" Type="http://schemas.openxmlformats.org/officeDocument/2006/relationships/hyperlink" Target="https://www.wko.at/service/wirtschaftsrecht-gewerberecht/EU-Datenschutz-Grundverordnung:-Grundsaetze-und-Rechtmaes.html" TargetMode="External"/><Relationship Id="rId5" Type="http://schemas.openxmlformats.org/officeDocument/2006/relationships/hyperlink" Target="https://www.wko.at/service/wirtschaftsrecht-gewerberecht/EU-Datenschutz-Grundverordnung:-Grundsaetze-und-Rechtmaes.html" TargetMode="External"/><Relationship Id="rId6" Type="http://schemas.openxmlformats.org/officeDocument/2006/relationships/hyperlink" Target="https://www.wko.at/service/wirtschaftsrecht-gewerberecht/EU-Datenschutz-Grundverordnung:-Grundsaetze-und-Rechtmaes.html" TargetMode="External"/><Relationship Id="rId7" Type="http://schemas.openxmlformats.org/officeDocument/2006/relationships/hyperlink" Target="https://www.datenschutz-guru.de/files/Ausfuellhilfe_TOM_9_BDSG_V2.docx" TargetMode="External"/><Relationship Id="rId8" Type="http://schemas.openxmlformats.org/officeDocument/2006/relationships/hyperlink" Target="https://www.datenschutz-guru.de/files/Ausfuellhilfe_TOM_9_BDSG_V2.docx" TargetMode="External"/><Relationship Id="rId9" Type="http://schemas.openxmlformats.org/officeDocument/2006/relationships/hyperlink" Target="https://www.datenschutz-guru.de/files/Ausfuellhilfe_TOM_9_BDSG_V2.docx" TargetMode="External"/><Relationship Id="rId10" Type="http://schemas.openxmlformats.org/officeDocument/2006/relationships/hyperlink" Target="mailto:dsb@dsb.gv.at" TargetMode="External"/><Relationship Id="rId11" Type="http://schemas.openxmlformats.org/officeDocument/2006/relationships/hyperlink" Target="https://www.datenschutz-guru.de/wartungsvertrag/" TargetMode="External"/><Relationship Id="rId12" Type="http://schemas.openxmlformats.org/officeDocument/2006/relationships/hyperlink" Target="https://www.sfu.ac.at/wp-content/uploads/berufskodex_fuer_psychotherapeutinnen.pdf" TargetMode="External"/><Relationship Id="rId13" Type="http://schemas.openxmlformats.org/officeDocument/2006/relationships/hyperlink" Target="https://www.sfu.ac.at/wp-content/uploads/berufskodex_fuer_psychotherapeutinnen.pdf" TargetMode="External"/><Relationship Id="rId14" Type="http://schemas.openxmlformats.org/officeDocument/2006/relationships/hyperlink" Target="https://www.ris.bka.gv.at/eli/bgbl/II/2004/312" TargetMode="External"/><Relationship Id="rId15" Type="http://schemas.openxmlformats.org/officeDocument/2006/relationships/hyperlink" Target="https://www.ris.bka.gv.at/eli/bgbl/II/2018/108/20180525" TargetMode="External"/><Relationship Id="rId16" Type="http://schemas.openxmlformats.org/officeDocument/2006/relationships/hyperlink" Target="https://www.blogmojo.de/adv-vertraege/" TargetMode="External"/><Relationship Id="rId17" Type="http://schemas.openxmlformats.org/officeDocument/2006/relationships/hyperlink" Target="https://www.rtr.at/de/tk/TKKS_ECGListe" TargetMode="External"/><Relationship Id="rId18" Type="http://schemas.openxmlformats.org/officeDocument/2006/relationships/hyperlink" Target="https://www.rtr.at/de/tk/WeitereGesetze" TargetMode="External"/><Relationship Id="rId19" Type="http://schemas.openxmlformats.org/officeDocument/2006/relationships/hyperlink" Target="mailto:datenschutz@temt.at" TargetMode="External"/><Relationship Id="rId20" Type="http://schemas.openxmlformats.org/officeDocument/2006/relationships/footer" Target="footer1.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LibreOffice/6.0.1.1$Windows_X86_64 LibreOffice_project/60bfb1526849283ce2491346ed2aa51c465abfe6</Application>
  <Pages>49</Pages>
  <Words>10524</Words>
  <Characters>74656</Characters>
  <CharactersWithSpaces>83904</CharactersWithSpaces>
  <Paragraphs>1419</Paragraphs>
  <Company>TU Wien - Studentenversion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2018-06-25T12:00:00Z</dcterms:created>
  <dc:creator>Christopher Temt</dc:creator>
  <dc:description/>
  <dc:language>de-AT</dc:language>
  <cp:lastModifiedBy/>
  <cp:lastPrinted>2018-03-08T17:07:00Z</cp:lastPrinted>
  <dcterms:modified xsi:type="dcterms:W3CDTF">2019-03-08T15:59:14Z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 Wien - Studentenversion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